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214A" w14:textId="77777777" w:rsidR="00EB47EC" w:rsidRDefault="00000000">
      <w:pPr>
        <w:spacing w:before="2400" w:after="200"/>
        <w:jc w:val="center"/>
      </w:pPr>
      <w:r>
        <w:rPr>
          <w:rFonts w:ascii="Arial" w:eastAsia="Arial" w:hAnsi="Arial" w:cs="Arial"/>
          <w:b/>
          <w:bCs/>
          <w:color w:val="1A1A1A"/>
          <w:sz w:val="58"/>
          <w:szCs w:val="58"/>
        </w:rPr>
        <w:t>Acme Manufacturing</w:t>
      </w:r>
    </w:p>
    <w:p w14:paraId="1AE4DE4A" w14:textId="77777777" w:rsidR="00EB47EC" w:rsidRDefault="00000000">
      <w:pPr>
        <w:spacing w:after="400"/>
        <w:jc w:val="center"/>
      </w:pPr>
      <w:r>
        <w:rPr>
          <w:rFonts w:ascii="Arial" w:eastAsia="Arial" w:hAnsi="Arial" w:cs="Arial"/>
          <w:b/>
          <w:bCs/>
          <w:color w:val="003399"/>
          <w:sz w:val="58"/>
          <w:szCs w:val="58"/>
        </w:rPr>
        <w:t>EU Cyber Resilience Act</w:t>
      </w:r>
    </w:p>
    <w:p w14:paraId="59307E85" w14:textId="77777777" w:rsidR="00EB47EC" w:rsidRDefault="00000000">
      <w:pPr>
        <w:spacing w:after="800"/>
        <w:jc w:val="center"/>
      </w:pPr>
      <w:r>
        <w:rPr>
          <w:rFonts w:ascii="Arial" w:eastAsia="Arial" w:hAnsi="Arial" w:cs="Arial"/>
          <w:color w:val="1A1A1A"/>
          <w:sz w:val="40"/>
          <w:szCs w:val="40"/>
        </w:rPr>
        <w:t>Organisational Readiness Assessment</w:t>
      </w:r>
    </w:p>
    <w:p w14:paraId="347292A7" w14:textId="77777777" w:rsidR="00EB47EC" w:rsidRDefault="00000000">
      <w:pPr>
        <w:spacing w:before="200"/>
        <w:jc w:val="center"/>
      </w:pPr>
      <w:r>
        <w:rPr>
          <w:rFonts w:ascii="Arial" w:eastAsia="Arial" w:hAnsi="Arial" w:cs="Arial"/>
          <w:color w:val="424245"/>
          <w:sz w:val="24"/>
          <w:szCs w:val="24"/>
        </w:rPr>
        <w:t>Role: Manufacturer</w:t>
      </w:r>
    </w:p>
    <w:p w14:paraId="2A70DE72" w14:textId="77777777" w:rsidR="00EB47EC" w:rsidRDefault="00000000">
      <w:pPr>
        <w:spacing w:before="100"/>
        <w:jc w:val="center"/>
      </w:pPr>
      <w:r>
        <w:rPr>
          <w:rFonts w:ascii="Arial" w:eastAsia="Arial" w:hAnsi="Arial" w:cs="Arial"/>
          <w:color w:val="424245"/>
          <w:sz w:val="24"/>
          <w:szCs w:val="24"/>
        </w:rPr>
        <w:t>Assessment Period: Jan 2027</w:t>
      </w:r>
    </w:p>
    <w:p w14:paraId="471283B8" w14:textId="742CA7E3" w:rsidR="00EB47EC" w:rsidRDefault="00000000">
      <w:pPr>
        <w:spacing w:before="100"/>
        <w:jc w:val="center"/>
      </w:pPr>
      <w:r>
        <w:rPr>
          <w:rFonts w:ascii="Arial" w:eastAsia="Arial" w:hAnsi="Arial" w:cs="Arial"/>
          <w:color w:val="424245"/>
          <w:sz w:val="24"/>
          <w:szCs w:val="24"/>
        </w:rPr>
        <w:t>Assessor: Gary Yabblet</w:t>
      </w:r>
    </w:p>
    <w:p w14:paraId="2C540E8D" w14:textId="77777777" w:rsidR="00EB47EC" w:rsidRDefault="00000000">
      <w:pPr>
        <w:spacing w:before="1600" w:after="40"/>
        <w:jc w:val="center"/>
      </w:pPr>
      <w:r>
        <w:rPr>
          <w:rFonts w:ascii="Arial" w:eastAsia="Arial" w:hAnsi="Arial" w:cs="Arial"/>
          <w:b/>
          <w:bCs/>
          <w:color w:val="86868B"/>
          <w:sz w:val="18"/>
          <w:szCs w:val="18"/>
        </w:rPr>
        <w:t>CONFIDENTIAL</w:t>
      </w:r>
    </w:p>
    <w:p w14:paraId="2FBEEF7F" w14:textId="77777777" w:rsidR="00EB47EC" w:rsidRDefault="00000000">
      <w:pPr>
        <w:jc w:val="center"/>
      </w:pPr>
      <w:r>
        <w:rPr>
          <w:rFonts w:ascii="Arial" w:eastAsia="Arial" w:hAnsi="Arial" w:cs="Arial"/>
          <w:i/>
          <w:iCs/>
          <w:color w:val="86868B"/>
          <w:sz w:val="16"/>
          <w:szCs w:val="16"/>
        </w:rPr>
        <w:t>For Internal Use Only</w:t>
      </w:r>
    </w:p>
    <w:p w14:paraId="4AF69E6C" w14:textId="77777777" w:rsidR="00EB47EC" w:rsidRDefault="00000000">
      <w:pPr>
        <w:spacing w:before="400"/>
        <w:jc w:val="center"/>
      </w:pPr>
      <w:r>
        <w:rPr>
          <w:rFonts w:ascii="Arial" w:eastAsia="Arial" w:hAnsi="Arial" w:cs="Arial"/>
          <w:color w:val="86868B"/>
          <w:sz w:val="14"/>
          <w:szCs w:val="14"/>
        </w:rPr>
        <w:t>Report generated: 27 February 2026</w:t>
      </w:r>
    </w:p>
    <w:p w14:paraId="7228736B" w14:textId="77777777" w:rsidR="00EB47EC" w:rsidRDefault="00000000">
      <w:r>
        <w:br w:type="page"/>
      </w:r>
    </w:p>
    <w:p w14:paraId="14E0B614" w14:textId="77777777" w:rsidR="00EB47EC" w:rsidRDefault="00000000">
      <w:pPr>
        <w:spacing w:after="200"/>
      </w:pPr>
      <w:r>
        <w:rPr>
          <w:rFonts w:ascii="Arial" w:eastAsia="Arial" w:hAnsi="Arial" w:cs="Arial"/>
          <w:b/>
          <w:bCs/>
          <w:color w:val="1A1A1A"/>
          <w:sz w:val="32"/>
          <w:szCs w:val="32"/>
        </w:rPr>
        <w:lastRenderedPageBreak/>
        <w:t>Executive Summary</w:t>
      </w:r>
    </w:p>
    <w:p w14:paraId="0BB5C774" w14:textId="77777777" w:rsidR="00EB47EC" w:rsidRDefault="00000000">
      <w:pPr>
        <w:spacing w:after="200"/>
      </w:pPr>
      <w:r>
        <w:rPr>
          <w:rFonts w:ascii="Arial" w:eastAsia="Arial" w:hAnsi="Arial" w:cs="Arial"/>
          <w:color w:val="666666"/>
        </w:rPr>
        <w:t>This report presents the findings of an organisational readiness assessment against the EU Cyber Resilience Act (Regulation 2024/2847) for Acme Manufacturing. It evaluates whether the organisation has the processes, capabilities and governance in place to achieve CRA compliance across its product portfolio.</w:t>
      </w:r>
    </w:p>
    <w:p w14:paraId="57B16ABB" w14:textId="77777777" w:rsidR="00EB47EC" w:rsidRDefault="00000000">
      <w:pPr>
        <w:spacing w:after="100"/>
      </w:pPr>
      <w:r>
        <w:rPr>
          <w:rFonts w:ascii="Arial" w:eastAsia="Arial" w:hAnsi="Arial" w:cs="Arial"/>
          <w:b/>
          <w:bCs/>
          <w:color w:val="1A1A1A"/>
          <w:sz w:val="22"/>
          <w:szCs w:val="22"/>
        </w:rPr>
        <w:t>Key Findings</w:t>
      </w:r>
    </w:p>
    <w:p w14:paraId="4C586D9C" w14:textId="77777777" w:rsidR="00EB47EC" w:rsidRDefault="00000000">
      <w:pPr>
        <w:spacing w:after="100"/>
      </w:pPr>
      <w:r>
        <w:rPr>
          <w:rFonts w:ascii="Arial" w:eastAsia="Arial" w:hAnsi="Arial" w:cs="Arial"/>
          <w:color w:val="666666"/>
        </w:rPr>
        <w:t xml:space="preserve">Full compliance rate: </w:t>
      </w:r>
      <w:r>
        <w:rPr>
          <w:rFonts w:ascii="Arial" w:eastAsia="Arial" w:hAnsi="Arial" w:cs="Arial"/>
          <w:b/>
          <w:bCs/>
          <w:color w:val="1A1A1A"/>
        </w:rPr>
        <w:t>56%</w:t>
      </w:r>
      <w:r>
        <w:rPr>
          <w:rFonts w:ascii="Arial" w:eastAsia="Arial" w:hAnsi="Arial" w:cs="Arial"/>
          <w:color w:val="666666"/>
        </w:rPr>
        <w:t xml:space="preserve">  |  Readiness rating: </w:t>
      </w:r>
      <w:r>
        <w:rPr>
          <w:rFonts w:ascii="Arial" w:eastAsia="Arial" w:hAnsi="Arial" w:cs="Arial"/>
          <w:b/>
          <w:bCs/>
          <w:color w:val="1A1A1A"/>
        </w:rPr>
        <w:t>Developing</w:t>
      </w:r>
    </w:p>
    <w:p w14:paraId="7771E62A" w14:textId="77777777" w:rsidR="00EB47EC" w:rsidRDefault="00000000">
      <w:pPr>
        <w:spacing w:after="100"/>
      </w:pPr>
      <w:r>
        <w:rPr>
          <w:rFonts w:ascii="Arial" w:eastAsia="Arial" w:hAnsi="Arial" w:cs="Arial"/>
          <w:color w:val="666666"/>
        </w:rPr>
        <w:t>The assessment identified 32 compliance gaps: 9 Critical, 16 High, 6 Medium, 1 Low priority. These gaps require remediation to achieve CRA compliance before the full application date of 11 December 2027.</w:t>
      </w:r>
    </w:p>
    <w:p w14:paraId="6797DA0F" w14:textId="77777777" w:rsidR="00EB47EC" w:rsidRDefault="00000000">
      <w:pPr>
        <w:spacing w:before="200" w:after="100"/>
      </w:pPr>
      <w:r>
        <w:rPr>
          <w:rFonts w:ascii="Arial" w:eastAsia="Arial" w:hAnsi="Arial" w:cs="Arial"/>
          <w:color w:val="666666"/>
        </w:rPr>
        <w:t xml:space="preserve">Strongest domain: </w:t>
      </w:r>
      <w:r>
        <w:rPr>
          <w:rFonts w:ascii="Arial" w:eastAsia="Arial" w:hAnsi="Arial" w:cs="Arial"/>
          <w:b/>
          <w:bCs/>
          <w:color w:val="1A1A1A"/>
        </w:rPr>
        <w:t>Secure by Design &amp; Development (92%)</w:t>
      </w:r>
    </w:p>
    <w:p w14:paraId="47955494" w14:textId="77777777" w:rsidR="00EB47EC" w:rsidRDefault="00000000">
      <w:pPr>
        <w:spacing w:after="100"/>
      </w:pPr>
      <w:r>
        <w:rPr>
          <w:rFonts w:ascii="Arial" w:eastAsia="Arial" w:hAnsi="Arial" w:cs="Arial"/>
          <w:color w:val="666666"/>
        </w:rPr>
        <w:t xml:space="preserve">Weakest domain: </w:t>
      </w:r>
      <w:r>
        <w:rPr>
          <w:rFonts w:ascii="Arial" w:eastAsia="Arial" w:hAnsi="Arial" w:cs="Arial"/>
          <w:b/>
          <w:bCs/>
          <w:color w:val="1A1A1A"/>
        </w:rPr>
        <w:t>Incident Reporting &amp; Communication (50%)</w:t>
      </w:r>
    </w:p>
    <w:p w14:paraId="46DA9785" w14:textId="77777777" w:rsidR="00EB47EC" w:rsidRDefault="00000000">
      <w:pPr>
        <w:spacing w:before="300" w:after="100"/>
      </w:pPr>
      <w:r>
        <w:rPr>
          <w:rFonts w:ascii="Arial" w:eastAsia="Arial" w:hAnsi="Arial" w:cs="Arial"/>
          <w:b/>
          <w:bCs/>
          <w:color w:val="1A1A1A"/>
          <w:sz w:val="22"/>
          <w:szCs w:val="22"/>
        </w:rPr>
        <w:t>CRA Key Dates</w:t>
      </w:r>
    </w:p>
    <w:p w14:paraId="4AF3966B" w14:textId="77777777" w:rsidR="00EB47EC" w:rsidRDefault="00000000">
      <w:pPr>
        <w:spacing w:after="50"/>
      </w:pPr>
      <w:r>
        <w:rPr>
          <w:rFonts w:ascii="Arial" w:eastAsia="Arial" w:hAnsi="Arial" w:cs="Arial"/>
          <w:color w:val="666666"/>
        </w:rPr>
        <w:t xml:space="preserve">Reporting obligations apply from: </w:t>
      </w:r>
      <w:r>
        <w:rPr>
          <w:rFonts w:ascii="Arial" w:eastAsia="Arial" w:hAnsi="Arial" w:cs="Arial"/>
          <w:b/>
          <w:bCs/>
          <w:color w:val="1A1A1A"/>
        </w:rPr>
        <w:t>11 September 2026</w:t>
      </w:r>
    </w:p>
    <w:p w14:paraId="7DDE5D2F" w14:textId="77777777" w:rsidR="00EB47EC" w:rsidRDefault="00000000">
      <w:pPr>
        <w:spacing w:after="200"/>
      </w:pPr>
      <w:r>
        <w:rPr>
          <w:rFonts w:ascii="Arial" w:eastAsia="Arial" w:hAnsi="Arial" w:cs="Arial"/>
          <w:color w:val="666666"/>
        </w:rPr>
        <w:t xml:space="preserve">Full CRA requirements apply from: </w:t>
      </w:r>
      <w:r>
        <w:rPr>
          <w:rFonts w:ascii="Arial" w:eastAsia="Arial" w:hAnsi="Arial" w:cs="Arial"/>
          <w:b/>
          <w:bCs/>
          <w:color w:val="1A1A1A"/>
        </w:rPr>
        <w:t>11 December 2027</w:t>
      </w:r>
    </w:p>
    <w:p w14:paraId="56A9DDDE" w14:textId="77777777" w:rsidR="00EB47EC" w:rsidRDefault="00000000">
      <w:pPr>
        <w:spacing w:before="300" w:after="100"/>
      </w:pPr>
      <w:r>
        <w:rPr>
          <w:rFonts w:ascii="Arial" w:eastAsia="Arial" w:hAnsi="Arial" w:cs="Arial"/>
          <w:b/>
          <w:bCs/>
          <w:color w:val="1A1A1A"/>
          <w:sz w:val="22"/>
          <w:szCs w:val="22"/>
        </w:rPr>
        <w:t>Progress Comparison</w:t>
      </w:r>
    </w:p>
    <w:p w14:paraId="4DB168FC" w14:textId="77777777" w:rsidR="00EB47EC" w:rsidRDefault="00000000">
      <w:pPr>
        <w:spacing w:after="200"/>
      </w:pPr>
      <w:r>
        <w:rPr>
          <w:rFonts w:ascii="Arial" w:eastAsia="Arial" w:hAnsi="Arial" w:cs="Arial"/>
          <w:color w:val="666666"/>
        </w:rPr>
        <w:t>Compared against snapshot from 26 February 2026 (Jan 2026)</w:t>
      </w:r>
    </w:p>
    <w:p w14:paraId="2A15757F" w14:textId="77777777" w:rsidR="00EB47EC" w:rsidRDefault="00000000">
      <w:pPr>
        <w:spacing w:after="100"/>
      </w:pPr>
      <w:r>
        <w:rPr>
          <w:rFonts w:ascii="Arial" w:eastAsia="Arial" w:hAnsi="Arial" w:cs="Arial"/>
          <w:color w:val="666666"/>
        </w:rPr>
        <w:t xml:space="preserve">Full compliance rate: </w:t>
      </w:r>
      <w:r>
        <w:rPr>
          <w:rFonts w:ascii="Arial" w:eastAsia="Arial" w:hAnsi="Arial" w:cs="Arial"/>
          <w:b/>
          <w:bCs/>
          <w:color w:val="1A1A1A"/>
        </w:rPr>
        <w:t>22% → 56% (+34)</w:t>
      </w:r>
    </w:p>
    <w:p w14:paraId="14495CD6" w14:textId="77777777" w:rsidR="00EB47EC" w:rsidRDefault="00000000">
      <w:pPr>
        <w:spacing w:after="100"/>
      </w:pPr>
      <w:r>
        <w:rPr>
          <w:rFonts w:ascii="Arial" w:eastAsia="Arial" w:hAnsi="Arial" w:cs="Arial"/>
          <w:color w:val="666666"/>
        </w:rPr>
        <w:t xml:space="preserve">Total gaps: </w:t>
      </w:r>
      <w:r>
        <w:rPr>
          <w:rFonts w:ascii="Arial" w:eastAsia="Arial" w:hAnsi="Arial" w:cs="Arial"/>
          <w:b/>
          <w:bCs/>
          <w:color w:val="1A1A1A"/>
        </w:rPr>
        <w:t>28 → 32 (+4)</w:t>
      </w:r>
    </w:p>
    <w:p w14:paraId="5D7B2D18" w14:textId="77777777" w:rsidR="00EB47EC" w:rsidRDefault="00000000">
      <w:pPr>
        <w:spacing w:after="200"/>
      </w:pPr>
      <w:r>
        <w:rPr>
          <w:rFonts w:ascii="Arial" w:eastAsia="Arial" w:hAnsi="Arial" w:cs="Arial"/>
          <w:color w:val="666666"/>
        </w:rPr>
        <w:t xml:space="preserve">Critical gaps: </w:t>
      </w:r>
      <w:r>
        <w:rPr>
          <w:rFonts w:ascii="Arial" w:eastAsia="Arial" w:hAnsi="Arial" w:cs="Arial"/>
          <w:b/>
          <w:bCs/>
          <w:color w:val="1A1A1A"/>
        </w:rPr>
        <w:t>9 → 9 (0)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9"/>
        <w:gridCol w:w="1352"/>
        <w:gridCol w:w="1352"/>
        <w:gridCol w:w="1803"/>
      </w:tblGrid>
      <w:tr w:rsidR="00EB47EC" w14:paraId="7EA545FE" w14:textId="77777777">
        <w:trPr>
          <w:tblHeader/>
        </w:trPr>
        <w:tc>
          <w:tcPr>
            <w:tcW w:w="2500" w:type="pct"/>
            <w:shd w:val="clear" w:color="auto" w:fill="F1F5F9"/>
            <w:vAlign w:val="center"/>
          </w:tcPr>
          <w:p w14:paraId="597DEA21" w14:textId="77777777" w:rsidR="00EB47EC" w:rsidRDefault="00000000">
            <w:pPr>
              <w:spacing w:before="60" w:after="60"/>
            </w:pPr>
            <w:r>
              <w:rPr>
                <w:rFonts w:ascii="Arial" w:eastAsia="Arial" w:hAnsi="Arial" w:cs="Arial"/>
                <w:b/>
                <w:bCs/>
                <w:color w:val="1A1A1A"/>
                <w:sz w:val="18"/>
                <w:szCs w:val="18"/>
              </w:rPr>
              <w:t>Domain</w:t>
            </w:r>
          </w:p>
        </w:tc>
        <w:tc>
          <w:tcPr>
            <w:tcW w:w="750" w:type="pct"/>
            <w:shd w:val="clear" w:color="auto" w:fill="F1F5F9"/>
            <w:vAlign w:val="center"/>
          </w:tcPr>
          <w:p w14:paraId="4E8BC9DB" w14:textId="77777777" w:rsidR="00EB47EC" w:rsidRDefault="00000000">
            <w:pPr>
              <w:spacing w:before="60" w:after="60"/>
              <w:jc w:val="center"/>
            </w:pPr>
            <w:r>
              <w:rPr>
                <w:rFonts w:ascii="Arial" w:eastAsia="Arial" w:hAnsi="Arial" w:cs="Arial"/>
                <w:b/>
                <w:bCs/>
                <w:color w:val="1A1A1A"/>
                <w:sz w:val="18"/>
                <w:szCs w:val="18"/>
              </w:rPr>
              <w:t>26 February 2026</w:t>
            </w:r>
          </w:p>
        </w:tc>
        <w:tc>
          <w:tcPr>
            <w:tcW w:w="750" w:type="pct"/>
            <w:shd w:val="clear" w:color="auto" w:fill="F1F5F9"/>
            <w:vAlign w:val="center"/>
          </w:tcPr>
          <w:p w14:paraId="63CBB68A" w14:textId="77777777" w:rsidR="00EB47EC" w:rsidRDefault="00000000">
            <w:pPr>
              <w:spacing w:before="60" w:after="60"/>
              <w:jc w:val="center"/>
            </w:pPr>
            <w:r>
              <w:rPr>
                <w:rFonts w:ascii="Arial" w:eastAsia="Arial" w:hAnsi="Arial" w:cs="Arial"/>
                <w:b/>
                <w:bCs/>
                <w:color w:val="1A1A1A"/>
                <w:sz w:val="18"/>
                <w:szCs w:val="18"/>
              </w:rPr>
              <w:t>Current</w:t>
            </w:r>
          </w:p>
        </w:tc>
        <w:tc>
          <w:tcPr>
            <w:tcW w:w="1000" w:type="pct"/>
            <w:shd w:val="clear" w:color="auto" w:fill="F1F5F9"/>
            <w:vAlign w:val="center"/>
          </w:tcPr>
          <w:p w14:paraId="1926C020" w14:textId="77777777" w:rsidR="00EB47EC" w:rsidRDefault="00000000">
            <w:pPr>
              <w:spacing w:before="60" w:after="60"/>
              <w:jc w:val="center"/>
            </w:pPr>
            <w:r>
              <w:rPr>
                <w:rFonts w:ascii="Arial" w:eastAsia="Arial" w:hAnsi="Arial" w:cs="Arial"/>
                <w:b/>
                <w:bCs/>
                <w:color w:val="1A1A1A"/>
                <w:sz w:val="18"/>
                <w:szCs w:val="18"/>
              </w:rPr>
              <w:t>Change</w:t>
            </w:r>
          </w:p>
        </w:tc>
      </w:tr>
      <w:tr w:rsidR="00EB47EC" w14:paraId="791A8377" w14:textId="77777777">
        <w:tc>
          <w:tcPr>
            <w:tcW w:w="2500" w:type="pct"/>
            <w:vAlign w:val="center"/>
          </w:tcPr>
          <w:p w14:paraId="257B0E39" w14:textId="77777777" w:rsidR="00EB47EC" w:rsidRDefault="00000000">
            <w:pPr>
              <w:spacing w:before="40" w:after="40"/>
            </w:pPr>
            <w:r>
              <w:rPr>
                <w:rFonts w:ascii="Arial" w:eastAsia="Arial" w:hAnsi="Arial" w:cs="Arial"/>
                <w:color w:val="1A1A1A"/>
                <w:sz w:val="18"/>
                <w:szCs w:val="18"/>
              </w:rPr>
              <w:t>Secure by Design &amp; Development</w:t>
            </w:r>
          </w:p>
        </w:tc>
        <w:tc>
          <w:tcPr>
            <w:tcW w:w="750" w:type="pct"/>
            <w:vAlign w:val="center"/>
          </w:tcPr>
          <w:p w14:paraId="7CDD583A" w14:textId="77777777" w:rsidR="00EB47EC" w:rsidRDefault="00000000">
            <w:pPr>
              <w:spacing w:before="40" w:after="40"/>
              <w:jc w:val="center"/>
            </w:pPr>
            <w:r>
              <w:rPr>
                <w:rFonts w:ascii="Arial" w:eastAsia="Arial" w:hAnsi="Arial" w:cs="Arial"/>
                <w:color w:val="666666"/>
                <w:sz w:val="18"/>
                <w:szCs w:val="18"/>
              </w:rPr>
              <w:t>54%</w:t>
            </w:r>
          </w:p>
        </w:tc>
        <w:tc>
          <w:tcPr>
            <w:tcW w:w="750" w:type="pct"/>
            <w:vAlign w:val="center"/>
          </w:tcPr>
          <w:p w14:paraId="528E99C3" w14:textId="77777777" w:rsidR="00EB47EC" w:rsidRDefault="00000000">
            <w:pPr>
              <w:spacing w:before="40" w:after="40"/>
              <w:jc w:val="center"/>
            </w:pPr>
            <w:r>
              <w:rPr>
                <w:rFonts w:ascii="Arial" w:eastAsia="Arial" w:hAnsi="Arial" w:cs="Arial"/>
                <w:b/>
                <w:bCs/>
                <w:color w:val="1A1A1A"/>
                <w:sz w:val="18"/>
                <w:szCs w:val="18"/>
              </w:rPr>
              <w:t>92%</w:t>
            </w:r>
          </w:p>
        </w:tc>
        <w:tc>
          <w:tcPr>
            <w:tcW w:w="1000" w:type="pct"/>
            <w:vAlign w:val="center"/>
          </w:tcPr>
          <w:p w14:paraId="43ADAEDF" w14:textId="77777777" w:rsidR="00EB47EC" w:rsidRDefault="00000000">
            <w:pPr>
              <w:spacing w:before="40" w:after="40"/>
              <w:jc w:val="center"/>
            </w:pPr>
            <w:r>
              <w:rPr>
                <w:rFonts w:ascii="Arial" w:eastAsia="Arial" w:hAnsi="Arial" w:cs="Arial"/>
                <w:b/>
                <w:bCs/>
                <w:color w:val="22C55E"/>
                <w:sz w:val="18"/>
                <w:szCs w:val="18"/>
              </w:rPr>
              <w:t>+38%</w:t>
            </w:r>
          </w:p>
        </w:tc>
      </w:tr>
      <w:tr w:rsidR="00EB47EC" w14:paraId="50802745" w14:textId="77777777">
        <w:tc>
          <w:tcPr>
            <w:tcW w:w="2500" w:type="pct"/>
            <w:vAlign w:val="center"/>
          </w:tcPr>
          <w:p w14:paraId="09326000" w14:textId="77777777" w:rsidR="00EB47EC" w:rsidRDefault="00000000">
            <w:pPr>
              <w:spacing w:before="40" w:after="40"/>
            </w:pPr>
            <w:r>
              <w:rPr>
                <w:rFonts w:ascii="Arial" w:eastAsia="Arial" w:hAnsi="Arial" w:cs="Arial"/>
                <w:color w:val="1A1A1A"/>
                <w:sz w:val="18"/>
                <w:szCs w:val="18"/>
              </w:rPr>
              <w:t>Vulnerability Management &amp; Handling</w:t>
            </w:r>
          </w:p>
        </w:tc>
        <w:tc>
          <w:tcPr>
            <w:tcW w:w="750" w:type="pct"/>
            <w:vAlign w:val="center"/>
          </w:tcPr>
          <w:p w14:paraId="6C998589" w14:textId="77777777" w:rsidR="00EB47EC" w:rsidRDefault="00000000">
            <w:pPr>
              <w:spacing w:before="40" w:after="40"/>
              <w:jc w:val="center"/>
            </w:pPr>
            <w:r>
              <w:rPr>
                <w:rFonts w:ascii="Arial" w:eastAsia="Arial" w:hAnsi="Arial" w:cs="Arial"/>
                <w:color w:val="666666"/>
                <w:sz w:val="18"/>
                <w:szCs w:val="18"/>
              </w:rPr>
              <w:t>71%</w:t>
            </w:r>
          </w:p>
        </w:tc>
        <w:tc>
          <w:tcPr>
            <w:tcW w:w="750" w:type="pct"/>
            <w:vAlign w:val="center"/>
          </w:tcPr>
          <w:p w14:paraId="58A4D90C" w14:textId="77777777" w:rsidR="00EB47EC" w:rsidRDefault="00000000">
            <w:pPr>
              <w:spacing w:before="40" w:after="40"/>
              <w:jc w:val="center"/>
            </w:pPr>
            <w:r>
              <w:rPr>
                <w:rFonts w:ascii="Arial" w:eastAsia="Arial" w:hAnsi="Arial" w:cs="Arial"/>
                <w:b/>
                <w:bCs/>
                <w:color w:val="1A1A1A"/>
                <w:sz w:val="18"/>
                <w:szCs w:val="18"/>
              </w:rPr>
              <w:t>86%</w:t>
            </w:r>
          </w:p>
        </w:tc>
        <w:tc>
          <w:tcPr>
            <w:tcW w:w="1000" w:type="pct"/>
            <w:vAlign w:val="center"/>
          </w:tcPr>
          <w:p w14:paraId="47277A00" w14:textId="77777777" w:rsidR="00EB47EC" w:rsidRDefault="00000000">
            <w:pPr>
              <w:spacing w:before="40" w:after="40"/>
              <w:jc w:val="center"/>
            </w:pPr>
            <w:r>
              <w:rPr>
                <w:rFonts w:ascii="Arial" w:eastAsia="Arial" w:hAnsi="Arial" w:cs="Arial"/>
                <w:b/>
                <w:bCs/>
                <w:color w:val="22C55E"/>
                <w:sz w:val="18"/>
                <w:szCs w:val="18"/>
              </w:rPr>
              <w:t>+15%</w:t>
            </w:r>
          </w:p>
        </w:tc>
      </w:tr>
      <w:tr w:rsidR="00EB47EC" w14:paraId="26FA7DC2" w14:textId="77777777">
        <w:tc>
          <w:tcPr>
            <w:tcW w:w="2500" w:type="pct"/>
            <w:vAlign w:val="center"/>
          </w:tcPr>
          <w:p w14:paraId="5F6F50AA" w14:textId="77777777" w:rsidR="00EB47EC" w:rsidRDefault="00000000">
            <w:pPr>
              <w:spacing w:before="40" w:after="40"/>
            </w:pPr>
            <w:r>
              <w:rPr>
                <w:rFonts w:ascii="Arial" w:eastAsia="Arial" w:hAnsi="Arial" w:cs="Arial"/>
                <w:color w:val="1A1A1A"/>
                <w:sz w:val="18"/>
                <w:szCs w:val="18"/>
              </w:rPr>
              <w:t>Product Security Properties</w:t>
            </w:r>
          </w:p>
        </w:tc>
        <w:tc>
          <w:tcPr>
            <w:tcW w:w="750" w:type="pct"/>
            <w:vAlign w:val="center"/>
          </w:tcPr>
          <w:p w14:paraId="4C76785A" w14:textId="77777777" w:rsidR="00EB47EC" w:rsidRDefault="00000000">
            <w:pPr>
              <w:spacing w:before="40" w:after="40"/>
              <w:jc w:val="center"/>
            </w:pPr>
            <w:r>
              <w:rPr>
                <w:rFonts w:ascii="Arial" w:eastAsia="Arial" w:hAnsi="Arial" w:cs="Arial"/>
                <w:color w:val="666666"/>
                <w:sz w:val="18"/>
                <w:szCs w:val="18"/>
              </w:rPr>
              <w:t>78%</w:t>
            </w:r>
          </w:p>
        </w:tc>
        <w:tc>
          <w:tcPr>
            <w:tcW w:w="750" w:type="pct"/>
            <w:vAlign w:val="center"/>
          </w:tcPr>
          <w:p w14:paraId="77F3F26D" w14:textId="77777777" w:rsidR="00EB47EC" w:rsidRDefault="00000000">
            <w:pPr>
              <w:spacing w:before="40" w:after="40"/>
              <w:jc w:val="center"/>
            </w:pPr>
            <w:r>
              <w:rPr>
                <w:rFonts w:ascii="Arial" w:eastAsia="Arial" w:hAnsi="Arial" w:cs="Arial"/>
                <w:b/>
                <w:bCs/>
                <w:color w:val="1A1A1A"/>
                <w:sz w:val="18"/>
                <w:szCs w:val="18"/>
              </w:rPr>
              <w:t>79%</w:t>
            </w:r>
          </w:p>
        </w:tc>
        <w:tc>
          <w:tcPr>
            <w:tcW w:w="1000" w:type="pct"/>
            <w:vAlign w:val="center"/>
          </w:tcPr>
          <w:p w14:paraId="64A848B7" w14:textId="77777777" w:rsidR="00EB47EC" w:rsidRDefault="00000000">
            <w:pPr>
              <w:spacing w:before="40" w:after="40"/>
              <w:jc w:val="center"/>
            </w:pPr>
            <w:r>
              <w:rPr>
                <w:rFonts w:ascii="Arial" w:eastAsia="Arial" w:hAnsi="Arial" w:cs="Arial"/>
                <w:b/>
                <w:bCs/>
                <w:color w:val="22C55E"/>
                <w:sz w:val="18"/>
                <w:szCs w:val="18"/>
              </w:rPr>
              <w:t>+1%</w:t>
            </w:r>
          </w:p>
        </w:tc>
      </w:tr>
      <w:tr w:rsidR="00EB47EC" w14:paraId="5A876F68" w14:textId="77777777">
        <w:tc>
          <w:tcPr>
            <w:tcW w:w="2500" w:type="pct"/>
            <w:vAlign w:val="center"/>
          </w:tcPr>
          <w:p w14:paraId="72B736D1" w14:textId="77777777" w:rsidR="00EB47EC" w:rsidRDefault="00000000">
            <w:pPr>
              <w:spacing w:before="40" w:after="40"/>
            </w:pPr>
            <w:r>
              <w:rPr>
                <w:rFonts w:ascii="Arial" w:eastAsia="Arial" w:hAnsi="Arial" w:cs="Arial"/>
                <w:color w:val="1A1A1A"/>
                <w:sz w:val="18"/>
                <w:szCs w:val="18"/>
              </w:rPr>
              <w:t>Incident Reporting &amp; Communication</w:t>
            </w:r>
          </w:p>
        </w:tc>
        <w:tc>
          <w:tcPr>
            <w:tcW w:w="750" w:type="pct"/>
            <w:vAlign w:val="center"/>
          </w:tcPr>
          <w:p w14:paraId="79BEEABB" w14:textId="77777777" w:rsidR="00EB47EC" w:rsidRDefault="00000000">
            <w:pPr>
              <w:spacing w:before="40" w:after="40"/>
              <w:jc w:val="center"/>
            </w:pPr>
            <w:r>
              <w:rPr>
                <w:rFonts w:ascii="Arial" w:eastAsia="Arial" w:hAnsi="Arial" w:cs="Arial"/>
                <w:color w:val="666666"/>
                <w:sz w:val="18"/>
                <w:szCs w:val="18"/>
              </w:rPr>
              <w:t>44%</w:t>
            </w:r>
          </w:p>
        </w:tc>
        <w:tc>
          <w:tcPr>
            <w:tcW w:w="750" w:type="pct"/>
            <w:vAlign w:val="center"/>
          </w:tcPr>
          <w:p w14:paraId="2C3FFD0C" w14:textId="77777777" w:rsidR="00EB47EC" w:rsidRDefault="00000000">
            <w:pPr>
              <w:spacing w:before="40" w:after="40"/>
              <w:jc w:val="center"/>
            </w:pPr>
            <w:r>
              <w:rPr>
                <w:rFonts w:ascii="Arial" w:eastAsia="Arial" w:hAnsi="Arial" w:cs="Arial"/>
                <w:b/>
                <w:bCs/>
                <w:color w:val="1A1A1A"/>
                <w:sz w:val="18"/>
                <w:szCs w:val="18"/>
              </w:rPr>
              <w:t>50%</w:t>
            </w:r>
          </w:p>
        </w:tc>
        <w:tc>
          <w:tcPr>
            <w:tcW w:w="1000" w:type="pct"/>
            <w:vAlign w:val="center"/>
          </w:tcPr>
          <w:p w14:paraId="2DDB8B9A" w14:textId="77777777" w:rsidR="00EB47EC" w:rsidRDefault="00000000">
            <w:pPr>
              <w:spacing w:before="40" w:after="40"/>
              <w:jc w:val="center"/>
            </w:pPr>
            <w:r>
              <w:rPr>
                <w:rFonts w:ascii="Arial" w:eastAsia="Arial" w:hAnsi="Arial" w:cs="Arial"/>
                <w:b/>
                <w:bCs/>
                <w:color w:val="22C55E"/>
                <w:sz w:val="18"/>
                <w:szCs w:val="18"/>
              </w:rPr>
              <w:t>+6%</w:t>
            </w:r>
          </w:p>
        </w:tc>
      </w:tr>
      <w:tr w:rsidR="00EB47EC" w14:paraId="00386CD1" w14:textId="77777777">
        <w:tc>
          <w:tcPr>
            <w:tcW w:w="2500" w:type="pct"/>
            <w:vAlign w:val="center"/>
          </w:tcPr>
          <w:p w14:paraId="18C9C82B" w14:textId="77777777" w:rsidR="00EB47EC" w:rsidRDefault="00000000">
            <w:pPr>
              <w:spacing w:before="40" w:after="40"/>
            </w:pPr>
            <w:r>
              <w:rPr>
                <w:rFonts w:ascii="Arial" w:eastAsia="Arial" w:hAnsi="Arial" w:cs="Arial"/>
                <w:color w:val="1A1A1A"/>
                <w:sz w:val="18"/>
                <w:szCs w:val="18"/>
              </w:rPr>
              <w:t>Technical Documentation &amp; Conformity</w:t>
            </w:r>
          </w:p>
        </w:tc>
        <w:tc>
          <w:tcPr>
            <w:tcW w:w="750" w:type="pct"/>
            <w:vAlign w:val="center"/>
          </w:tcPr>
          <w:p w14:paraId="1010D5DE" w14:textId="77777777" w:rsidR="00EB47EC" w:rsidRDefault="00000000">
            <w:pPr>
              <w:spacing w:before="40" w:after="40"/>
              <w:jc w:val="center"/>
            </w:pPr>
            <w:r>
              <w:rPr>
                <w:rFonts w:ascii="Arial" w:eastAsia="Arial" w:hAnsi="Arial" w:cs="Arial"/>
                <w:color w:val="666666"/>
                <w:sz w:val="18"/>
                <w:szCs w:val="18"/>
              </w:rPr>
              <w:t>44%</w:t>
            </w:r>
          </w:p>
        </w:tc>
        <w:tc>
          <w:tcPr>
            <w:tcW w:w="750" w:type="pct"/>
            <w:vAlign w:val="center"/>
          </w:tcPr>
          <w:p w14:paraId="70E95A9F" w14:textId="77777777" w:rsidR="00EB47EC" w:rsidRDefault="00000000">
            <w:pPr>
              <w:spacing w:before="40" w:after="40"/>
              <w:jc w:val="center"/>
            </w:pPr>
            <w:r>
              <w:rPr>
                <w:rFonts w:ascii="Arial" w:eastAsia="Arial" w:hAnsi="Arial" w:cs="Arial"/>
                <w:b/>
                <w:bCs/>
                <w:color w:val="1A1A1A"/>
                <w:sz w:val="18"/>
                <w:szCs w:val="18"/>
              </w:rPr>
              <w:t>85%</w:t>
            </w:r>
          </w:p>
        </w:tc>
        <w:tc>
          <w:tcPr>
            <w:tcW w:w="1000" w:type="pct"/>
            <w:vAlign w:val="center"/>
          </w:tcPr>
          <w:p w14:paraId="43466FB6" w14:textId="77777777" w:rsidR="00EB47EC" w:rsidRDefault="00000000">
            <w:pPr>
              <w:spacing w:before="40" w:after="40"/>
              <w:jc w:val="center"/>
            </w:pPr>
            <w:r>
              <w:rPr>
                <w:rFonts w:ascii="Arial" w:eastAsia="Arial" w:hAnsi="Arial" w:cs="Arial"/>
                <w:b/>
                <w:bCs/>
                <w:color w:val="22C55E"/>
                <w:sz w:val="18"/>
                <w:szCs w:val="18"/>
              </w:rPr>
              <w:t>+41%</w:t>
            </w:r>
          </w:p>
        </w:tc>
      </w:tr>
      <w:tr w:rsidR="00EB47EC" w14:paraId="460D67FF" w14:textId="77777777">
        <w:tc>
          <w:tcPr>
            <w:tcW w:w="2500" w:type="pct"/>
            <w:vAlign w:val="center"/>
          </w:tcPr>
          <w:p w14:paraId="0FB33D49" w14:textId="77777777" w:rsidR="00EB47EC" w:rsidRDefault="00000000">
            <w:pPr>
              <w:spacing w:before="40" w:after="40"/>
            </w:pPr>
            <w:r>
              <w:rPr>
                <w:rFonts w:ascii="Arial" w:eastAsia="Arial" w:hAnsi="Arial" w:cs="Arial"/>
                <w:color w:val="1A1A1A"/>
                <w:sz w:val="18"/>
                <w:szCs w:val="18"/>
              </w:rPr>
              <w:t>Supply Chain &amp; Third-Party Components</w:t>
            </w:r>
          </w:p>
        </w:tc>
        <w:tc>
          <w:tcPr>
            <w:tcW w:w="750" w:type="pct"/>
            <w:vAlign w:val="center"/>
          </w:tcPr>
          <w:p w14:paraId="6A42C534" w14:textId="77777777" w:rsidR="00EB47EC" w:rsidRDefault="00000000">
            <w:pPr>
              <w:spacing w:before="40" w:after="40"/>
              <w:jc w:val="center"/>
            </w:pPr>
            <w:r>
              <w:rPr>
                <w:rFonts w:ascii="Arial" w:eastAsia="Arial" w:hAnsi="Arial" w:cs="Arial"/>
                <w:color w:val="666666"/>
                <w:sz w:val="18"/>
                <w:szCs w:val="18"/>
              </w:rPr>
              <w:t>67%</w:t>
            </w:r>
          </w:p>
        </w:tc>
        <w:tc>
          <w:tcPr>
            <w:tcW w:w="750" w:type="pct"/>
            <w:vAlign w:val="center"/>
          </w:tcPr>
          <w:p w14:paraId="1E944021" w14:textId="77777777" w:rsidR="00EB47EC" w:rsidRDefault="00000000">
            <w:pPr>
              <w:spacing w:before="40" w:after="40"/>
              <w:jc w:val="center"/>
            </w:pPr>
            <w:r>
              <w:rPr>
                <w:rFonts w:ascii="Arial" w:eastAsia="Arial" w:hAnsi="Arial" w:cs="Arial"/>
                <w:b/>
                <w:bCs/>
                <w:color w:val="1A1A1A"/>
                <w:sz w:val="18"/>
                <w:szCs w:val="18"/>
              </w:rPr>
              <w:t>87%</w:t>
            </w:r>
          </w:p>
        </w:tc>
        <w:tc>
          <w:tcPr>
            <w:tcW w:w="1000" w:type="pct"/>
            <w:vAlign w:val="center"/>
          </w:tcPr>
          <w:p w14:paraId="386CEEAE" w14:textId="77777777" w:rsidR="00EB47EC" w:rsidRDefault="00000000">
            <w:pPr>
              <w:spacing w:before="40" w:after="40"/>
              <w:jc w:val="center"/>
            </w:pPr>
            <w:r>
              <w:rPr>
                <w:rFonts w:ascii="Arial" w:eastAsia="Arial" w:hAnsi="Arial" w:cs="Arial"/>
                <w:b/>
                <w:bCs/>
                <w:color w:val="22C55E"/>
                <w:sz w:val="18"/>
                <w:szCs w:val="18"/>
              </w:rPr>
              <w:t>+20%</w:t>
            </w:r>
          </w:p>
        </w:tc>
      </w:tr>
      <w:tr w:rsidR="00EB47EC" w14:paraId="56B173DD" w14:textId="77777777">
        <w:tc>
          <w:tcPr>
            <w:tcW w:w="2500" w:type="pct"/>
            <w:vAlign w:val="center"/>
          </w:tcPr>
          <w:p w14:paraId="0B5B72DD" w14:textId="77777777" w:rsidR="00EB47EC" w:rsidRDefault="00000000">
            <w:pPr>
              <w:spacing w:before="40" w:after="40"/>
            </w:pPr>
            <w:r>
              <w:rPr>
                <w:rFonts w:ascii="Arial" w:eastAsia="Arial" w:hAnsi="Arial" w:cs="Arial"/>
                <w:color w:val="1A1A1A"/>
                <w:sz w:val="18"/>
                <w:szCs w:val="18"/>
              </w:rPr>
              <w:t>User Information &amp; Transparency</w:t>
            </w:r>
          </w:p>
        </w:tc>
        <w:tc>
          <w:tcPr>
            <w:tcW w:w="750" w:type="pct"/>
            <w:vAlign w:val="center"/>
          </w:tcPr>
          <w:p w14:paraId="4E5237DD" w14:textId="77777777" w:rsidR="00EB47EC" w:rsidRDefault="00000000">
            <w:pPr>
              <w:spacing w:before="40" w:after="40"/>
              <w:jc w:val="center"/>
            </w:pPr>
            <w:r>
              <w:rPr>
                <w:rFonts w:ascii="Arial" w:eastAsia="Arial" w:hAnsi="Arial" w:cs="Arial"/>
                <w:color w:val="666666"/>
                <w:sz w:val="18"/>
                <w:szCs w:val="18"/>
              </w:rPr>
              <w:t>—</w:t>
            </w:r>
          </w:p>
        </w:tc>
        <w:tc>
          <w:tcPr>
            <w:tcW w:w="750" w:type="pct"/>
            <w:vAlign w:val="center"/>
          </w:tcPr>
          <w:p w14:paraId="4336003D" w14:textId="77777777" w:rsidR="00EB47EC" w:rsidRDefault="00000000">
            <w:pPr>
              <w:spacing w:before="40" w:after="40"/>
              <w:jc w:val="center"/>
            </w:pPr>
            <w:r>
              <w:rPr>
                <w:rFonts w:ascii="Arial" w:eastAsia="Arial" w:hAnsi="Arial" w:cs="Arial"/>
                <w:b/>
                <w:bCs/>
                <w:color w:val="1A1A1A"/>
                <w:sz w:val="18"/>
                <w:szCs w:val="18"/>
              </w:rPr>
              <w:t>59%</w:t>
            </w:r>
          </w:p>
        </w:tc>
        <w:tc>
          <w:tcPr>
            <w:tcW w:w="1000" w:type="pct"/>
            <w:vAlign w:val="center"/>
          </w:tcPr>
          <w:p w14:paraId="09B3EDAB" w14:textId="77777777" w:rsidR="00EB47EC" w:rsidRDefault="00000000">
            <w:pPr>
              <w:spacing w:before="40" w:after="40"/>
              <w:jc w:val="center"/>
            </w:pPr>
            <w:r>
              <w:rPr>
                <w:rFonts w:ascii="Arial" w:eastAsia="Arial" w:hAnsi="Arial" w:cs="Arial"/>
                <w:b/>
                <w:bCs/>
                <w:color w:val="666666"/>
                <w:sz w:val="18"/>
                <w:szCs w:val="18"/>
              </w:rPr>
              <w:t>New</w:t>
            </w:r>
          </w:p>
        </w:tc>
      </w:tr>
      <w:tr w:rsidR="00EB47EC" w14:paraId="031B3494" w14:textId="77777777">
        <w:tc>
          <w:tcPr>
            <w:tcW w:w="2500" w:type="pct"/>
            <w:vAlign w:val="center"/>
          </w:tcPr>
          <w:p w14:paraId="70B6CEB5" w14:textId="77777777" w:rsidR="00EB47EC" w:rsidRDefault="00000000">
            <w:pPr>
              <w:spacing w:before="40" w:after="40"/>
            </w:pPr>
            <w:r>
              <w:rPr>
                <w:rFonts w:ascii="Arial" w:eastAsia="Arial" w:hAnsi="Arial" w:cs="Arial"/>
                <w:color w:val="1A1A1A"/>
                <w:sz w:val="18"/>
                <w:szCs w:val="18"/>
              </w:rPr>
              <w:t>Lifecycle &amp; Support Management</w:t>
            </w:r>
          </w:p>
        </w:tc>
        <w:tc>
          <w:tcPr>
            <w:tcW w:w="750" w:type="pct"/>
            <w:vAlign w:val="center"/>
          </w:tcPr>
          <w:p w14:paraId="3024E566" w14:textId="77777777" w:rsidR="00EB47EC" w:rsidRDefault="00000000">
            <w:pPr>
              <w:spacing w:before="40" w:after="40"/>
              <w:jc w:val="center"/>
            </w:pPr>
            <w:r>
              <w:rPr>
                <w:rFonts w:ascii="Arial" w:eastAsia="Arial" w:hAnsi="Arial" w:cs="Arial"/>
                <w:color w:val="666666"/>
                <w:sz w:val="18"/>
                <w:szCs w:val="18"/>
              </w:rPr>
              <w:t>—</w:t>
            </w:r>
          </w:p>
        </w:tc>
        <w:tc>
          <w:tcPr>
            <w:tcW w:w="750" w:type="pct"/>
            <w:vAlign w:val="center"/>
          </w:tcPr>
          <w:p w14:paraId="12814643" w14:textId="77777777" w:rsidR="00EB47EC" w:rsidRDefault="00000000">
            <w:pPr>
              <w:spacing w:before="40" w:after="40"/>
              <w:jc w:val="center"/>
            </w:pPr>
            <w:r>
              <w:rPr>
                <w:rFonts w:ascii="Arial" w:eastAsia="Arial" w:hAnsi="Arial" w:cs="Arial"/>
                <w:b/>
                <w:bCs/>
                <w:color w:val="1A1A1A"/>
                <w:sz w:val="18"/>
                <w:szCs w:val="18"/>
              </w:rPr>
              <w:t>81%</w:t>
            </w:r>
          </w:p>
        </w:tc>
        <w:tc>
          <w:tcPr>
            <w:tcW w:w="1000" w:type="pct"/>
            <w:vAlign w:val="center"/>
          </w:tcPr>
          <w:p w14:paraId="04712168" w14:textId="77777777" w:rsidR="00EB47EC" w:rsidRDefault="00000000">
            <w:pPr>
              <w:spacing w:before="40" w:after="40"/>
              <w:jc w:val="center"/>
            </w:pPr>
            <w:r>
              <w:rPr>
                <w:rFonts w:ascii="Arial" w:eastAsia="Arial" w:hAnsi="Arial" w:cs="Arial"/>
                <w:b/>
                <w:bCs/>
                <w:color w:val="666666"/>
                <w:sz w:val="18"/>
                <w:szCs w:val="18"/>
              </w:rPr>
              <w:t>New</w:t>
            </w:r>
          </w:p>
        </w:tc>
      </w:tr>
    </w:tbl>
    <w:p w14:paraId="45BCC22B" w14:textId="77777777" w:rsidR="00EB47EC" w:rsidRDefault="00000000">
      <w:r>
        <w:br w:type="page"/>
      </w:r>
    </w:p>
    <w:p w14:paraId="7571D27F" w14:textId="77777777" w:rsidR="00EB47EC" w:rsidRDefault="00000000">
      <w:pPr>
        <w:spacing w:after="200"/>
      </w:pPr>
      <w:r>
        <w:rPr>
          <w:rFonts w:ascii="Arial" w:eastAsia="Arial" w:hAnsi="Arial" w:cs="Arial"/>
          <w:b/>
          <w:bCs/>
          <w:color w:val="1A1A1A"/>
          <w:sz w:val="32"/>
          <w:szCs w:val="32"/>
        </w:rPr>
        <w:lastRenderedPageBreak/>
        <w:t>Domain Compliance Analysis</w:t>
      </w:r>
    </w:p>
    <w:p w14:paraId="2AA5520A" w14:textId="77777777" w:rsidR="00EB47EC" w:rsidRDefault="00000000">
      <w:pPr>
        <w:spacing w:after="300"/>
      </w:pPr>
      <w:r>
        <w:rPr>
          <w:rFonts w:ascii="Arial" w:eastAsia="Arial" w:hAnsi="Arial" w:cs="Arial"/>
          <w:color w:val="666666"/>
        </w:rPr>
        <w:t>Performance across all CRA requirement domains, sorted by compliance score.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73"/>
        <w:gridCol w:w="3687"/>
        <w:gridCol w:w="965"/>
        <w:gridCol w:w="1101"/>
      </w:tblGrid>
      <w:tr w:rsidR="00EB47EC" w14:paraId="340ADF4B" w14:textId="77777777">
        <w:trPr>
          <w:tblHeader/>
        </w:trPr>
        <w:tc>
          <w:tcPr>
            <w:tcW w:w="35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234925DF" w14:textId="77777777" w:rsidR="00EB47EC" w:rsidRDefault="00000000">
            <w:r>
              <w:rPr>
                <w:rFonts w:ascii="Arial" w:eastAsia="Arial" w:hAnsi="Arial" w:cs="Arial"/>
                <w:b/>
                <w:bCs/>
                <w:color w:val="1A1A1A"/>
                <w:sz w:val="18"/>
                <w:szCs w:val="18"/>
              </w:rPr>
              <w:t>Domain</w:t>
            </w:r>
          </w:p>
        </w:tc>
        <w:tc>
          <w:tcPr>
            <w:tcW w:w="4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483EA67E" w14:textId="77777777" w:rsidR="00EB47EC" w:rsidRDefault="00000000">
            <w:r>
              <w:rPr>
                <w:rFonts w:ascii="Arial" w:eastAsia="Arial" w:hAnsi="Arial" w:cs="Arial"/>
                <w:b/>
                <w:bCs/>
                <w:color w:val="1A1A1A"/>
                <w:sz w:val="18"/>
                <w:szCs w:val="18"/>
              </w:rPr>
              <w:t>Description</w:t>
            </w:r>
          </w:p>
        </w:tc>
        <w:tc>
          <w:tcPr>
            <w:tcW w:w="1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2685F861" w14:textId="77777777" w:rsidR="00EB47EC" w:rsidRDefault="00000000">
            <w:r>
              <w:rPr>
                <w:rFonts w:ascii="Arial" w:eastAsia="Arial" w:hAnsi="Arial" w:cs="Arial"/>
                <w:b/>
                <w:bCs/>
                <w:color w:val="1A1A1A"/>
                <w:sz w:val="18"/>
                <w:szCs w:val="18"/>
              </w:rPr>
              <w:t>Score</w:t>
            </w:r>
          </w:p>
        </w:tc>
        <w:tc>
          <w:tcPr>
            <w:tcW w:w="1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7C967B73" w14:textId="77777777" w:rsidR="00EB47EC" w:rsidRDefault="00000000">
            <w:r>
              <w:rPr>
                <w:rFonts w:ascii="Arial" w:eastAsia="Arial" w:hAnsi="Arial" w:cs="Arial"/>
                <w:b/>
                <w:bCs/>
                <w:color w:val="1A1A1A"/>
                <w:sz w:val="18"/>
                <w:szCs w:val="18"/>
              </w:rPr>
              <w:t>Status</w:t>
            </w:r>
          </w:p>
        </w:tc>
      </w:tr>
      <w:tr w:rsidR="00EB47EC" w14:paraId="69F1E556" w14:textId="77777777">
        <w:trPr>
          <w:cantSplit/>
        </w:trPr>
        <w:tc>
          <w:tcPr>
            <w:tcW w:w="3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025051C" w14:textId="77777777" w:rsidR="00EB47EC" w:rsidRDefault="00000000">
            <w:r>
              <w:rPr>
                <w:rFonts w:ascii="Arial" w:eastAsia="Arial" w:hAnsi="Arial" w:cs="Arial"/>
                <w:b/>
                <w:bCs/>
                <w:color w:val="1A1A1A"/>
                <w:sz w:val="18"/>
                <w:szCs w:val="18"/>
              </w:rPr>
              <w:t>Secure by Design &amp; Development</w:t>
            </w:r>
          </w:p>
        </w:tc>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741B3E0" w14:textId="77777777" w:rsidR="00EB47EC" w:rsidRDefault="00000000">
            <w:r>
              <w:rPr>
                <w:rFonts w:ascii="Arial" w:eastAsia="Arial" w:hAnsi="Arial" w:cs="Arial"/>
                <w:color w:val="1A1A1A"/>
                <w:sz w:val="16"/>
                <w:szCs w:val="16"/>
              </w:rPr>
              <w:t>Integrating cybersecurity throughout the product development lifecycle including threat modelling, secure coding and security testing.</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E9E74C3" w14:textId="77777777" w:rsidR="00EB47EC" w:rsidRDefault="00000000">
            <w:r>
              <w:rPr>
                <w:rFonts w:ascii="Arial" w:eastAsia="Arial" w:hAnsi="Arial" w:cs="Arial"/>
                <w:b/>
                <w:bCs/>
                <w:color w:val="1A1A1A"/>
                <w:sz w:val="18"/>
                <w:szCs w:val="18"/>
              </w:rPr>
              <w:t>92%</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FF23541" w14:textId="77777777" w:rsidR="00EB47EC" w:rsidRDefault="00000000">
            <w:r>
              <w:rPr>
                <w:rFonts w:ascii="Arial" w:eastAsia="Arial" w:hAnsi="Arial" w:cs="Arial"/>
                <w:color w:val="1A1A1A"/>
                <w:sz w:val="18"/>
                <w:szCs w:val="18"/>
              </w:rPr>
              <w:t>Strong</w:t>
            </w:r>
          </w:p>
        </w:tc>
      </w:tr>
      <w:tr w:rsidR="00EB47EC" w14:paraId="330CC611" w14:textId="77777777">
        <w:trPr>
          <w:cantSplit/>
        </w:trPr>
        <w:tc>
          <w:tcPr>
            <w:tcW w:w="3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FF81591" w14:textId="77777777" w:rsidR="00EB47EC" w:rsidRDefault="00000000">
            <w:r>
              <w:rPr>
                <w:rFonts w:ascii="Arial" w:eastAsia="Arial" w:hAnsi="Arial" w:cs="Arial"/>
                <w:b/>
                <w:bCs/>
                <w:color w:val="1A1A1A"/>
                <w:sz w:val="18"/>
                <w:szCs w:val="18"/>
              </w:rPr>
              <w:t>Supply Chain &amp; Third-Party Components</w:t>
            </w:r>
          </w:p>
        </w:tc>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B604925" w14:textId="77777777" w:rsidR="00EB47EC" w:rsidRDefault="00000000">
            <w:r>
              <w:rPr>
                <w:rFonts w:ascii="Arial" w:eastAsia="Arial" w:hAnsi="Arial" w:cs="Arial"/>
                <w:color w:val="1A1A1A"/>
                <w:sz w:val="16"/>
                <w:szCs w:val="16"/>
              </w:rPr>
              <w:t>Due diligence over third-party components, open-source governance and SBOM generation capability.</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7E2F8D0" w14:textId="77777777" w:rsidR="00EB47EC" w:rsidRDefault="00000000">
            <w:r>
              <w:rPr>
                <w:rFonts w:ascii="Arial" w:eastAsia="Arial" w:hAnsi="Arial" w:cs="Arial"/>
                <w:b/>
                <w:bCs/>
                <w:color w:val="1A1A1A"/>
                <w:sz w:val="18"/>
                <w:szCs w:val="18"/>
              </w:rPr>
              <w:t>87%</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97044D1" w14:textId="77777777" w:rsidR="00EB47EC" w:rsidRDefault="00000000">
            <w:r>
              <w:rPr>
                <w:rFonts w:ascii="Arial" w:eastAsia="Arial" w:hAnsi="Arial" w:cs="Arial"/>
                <w:color w:val="1A1A1A"/>
                <w:sz w:val="18"/>
                <w:szCs w:val="18"/>
              </w:rPr>
              <w:t>Strong</w:t>
            </w:r>
          </w:p>
        </w:tc>
      </w:tr>
      <w:tr w:rsidR="00EB47EC" w14:paraId="6ED2486B" w14:textId="77777777">
        <w:trPr>
          <w:cantSplit/>
        </w:trPr>
        <w:tc>
          <w:tcPr>
            <w:tcW w:w="3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C17403D" w14:textId="77777777" w:rsidR="00EB47EC" w:rsidRDefault="00000000">
            <w:r>
              <w:rPr>
                <w:rFonts w:ascii="Arial" w:eastAsia="Arial" w:hAnsi="Arial" w:cs="Arial"/>
                <w:b/>
                <w:bCs/>
                <w:color w:val="1A1A1A"/>
                <w:sz w:val="18"/>
                <w:szCs w:val="18"/>
              </w:rPr>
              <w:t>Vulnerability Management &amp; Handling</w:t>
            </w:r>
          </w:p>
        </w:tc>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3081144" w14:textId="77777777" w:rsidR="00EB47EC" w:rsidRDefault="00000000">
            <w:r>
              <w:rPr>
                <w:rFonts w:ascii="Arial" w:eastAsia="Arial" w:hAnsi="Arial" w:cs="Arial"/>
                <w:color w:val="1A1A1A"/>
                <w:sz w:val="16"/>
                <w:szCs w:val="16"/>
              </w:rPr>
              <w:t>Identifying, documenting and remediating vulnerabilities, managing coordinated disclosure and third-party component vulnerability sharing, auto-update delivery with opt-out, public vulnerability advisory publication and ongoing security testing across the product portfolio.</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78B44E2" w14:textId="77777777" w:rsidR="00EB47EC" w:rsidRDefault="00000000">
            <w:r>
              <w:rPr>
                <w:rFonts w:ascii="Arial" w:eastAsia="Arial" w:hAnsi="Arial" w:cs="Arial"/>
                <w:b/>
                <w:bCs/>
                <w:color w:val="1A1A1A"/>
                <w:sz w:val="18"/>
                <w:szCs w:val="18"/>
              </w:rPr>
              <w:t>86%</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4DE4A39" w14:textId="77777777" w:rsidR="00EB47EC" w:rsidRDefault="00000000">
            <w:r>
              <w:rPr>
                <w:rFonts w:ascii="Arial" w:eastAsia="Arial" w:hAnsi="Arial" w:cs="Arial"/>
                <w:color w:val="1A1A1A"/>
                <w:sz w:val="18"/>
                <w:szCs w:val="18"/>
              </w:rPr>
              <w:t>Strong</w:t>
            </w:r>
          </w:p>
        </w:tc>
      </w:tr>
      <w:tr w:rsidR="00EB47EC" w14:paraId="7646ED7A" w14:textId="77777777">
        <w:trPr>
          <w:cantSplit/>
        </w:trPr>
        <w:tc>
          <w:tcPr>
            <w:tcW w:w="3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431174D" w14:textId="77777777" w:rsidR="00EB47EC" w:rsidRDefault="00000000">
            <w:r>
              <w:rPr>
                <w:rFonts w:ascii="Arial" w:eastAsia="Arial" w:hAnsi="Arial" w:cs="Arial"/>
                <w:b/>
                <w:bCs/>
                <w:color w:val="1A1A1A"/>
                <w:sz w:val="18"/>
                <w:szCs w:val="18"/>
              </w:rPr>
              <w:t>Technical Documentation &amp; Conformity</w:t>
            </w:r>
          </w:p>
        </w:tc>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A57A423" w14:textId="77777777" w:rsidR="00EB47EC" w:rsidRDefault="00000000">
            <w:r>
              <w:rPr>
                <w:rFonts w:ascii="Arial" w:eastAsia="Arial" w:hAnsi="Arial" w:cs="Arial"/>
                <w:color w:val="1A1A1A"/>
                <w:sz w:val="16"/>
                <w:szCs w:val="16"/>
              </w:rPr>
              <w:t>Processes for technical documentation, EU Declarations of Conformity, CE marking, product classification against Annex III/IV, cybersecurity risk assessments, 10-year documentation retention and market surveillance authority cooperation.</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40B146" w14:textId="77777777" w:rsidR="00EB47EC" w:rsidRDefault="00000000">
            <w:r>
              <w:rPr>
                <w:rFonts w:ascii="Arial" w:eastAsia="Arial" w:hAnsi="Arial" w:cs="Arial"/>
                <w:b/>
                <w:bCs/>
                <w:color w:val="1A1A1A"/>
                <w:sz w:val="18"/>
                <w:szCs w:val="18"/>
              </w:rPr>
              <w:t>85%</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FDDAD1B" w14:textId="77777777" w:rsidR="00EB47EC" w:rsidRDefault="00000000">
            <w:r>
              <w:rPr>
                <w:rFonts w:ascii="Arial" w:eastAsia="Arial" w:hAnsi="Arial" w:cs="Arial"/>
                <w:color w:val="1A1A1A"/>
                <w:sz w:val="18"/>
                <w:szCs w:val="18"/>
              </w:rPr>
              <w:t>Strong</w:t>
            </w:r>
          </w:p>
        </w:tc>
      </w:tr>
      <w:tr w:rsidR="00EB47EC" w14:paraId="50A60569" w14:textId="77777777">
        <w:trPr>
          <w:cantSplit/>
        </w:trPr>
        <w:tc>
          <w:tcPr>
            <w:tcW w:w="3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A114727" w14:textId="77777777" w:rsidR="00EB47EC" w:rsidRDefault="00000000">
            <w:r>
              <w:rPr>
                <w:rFonts w:ascii="Arial" w:eastAsia="Arial" w:hAnsi="Arial" w:cs="Arial"/>
                <w:b/>
                <w:bCs/>
                <w:color w:val="1A1A1A"/>
                <w:sz w:val="18"/>
                <w:szCs w:val="18"/>
              </w:rPr>
              <w:t>Lifecycle &amp; Support Management</w:t>
            </w:r>
          </w:p>
        </w:tc>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3E350F4" w14:textId="77777777" w:rsidR="00EB47EC" w:rsidRDefault="00000000">
            <w:r>
              <w:rPr>
                <w:rFonts w:ascii="Arial" w:eastAsia="Arial" w:hAnsi="Arial" w:cs="Arial"/>
                <w:color w:val="1A1A1A"/>
                <w:sz w:val="16"/>
                <w:szCs w:val="16"/>
              </w:rPr>
              <w:t>Capability to provide security updates throughout support periods, non-conformity corrective action readiness, security logging standards with user opt-out and business continuity arrangements for CRA obligations.</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2A55371" w14:textId="77777777" w:rsidR="00EB47EC" w:rsidRDefault="00000000">
            <w:r>
              <w:rPr>
                <w:rFonts w:ascii="Arial" w:eastAsia="Arial" w:hAnsi="Arial" w:cs="Arial"/>
                <w:b/>
                <w:bCs/>
                <w:color w:val="1A1A1A"/>
                <w:sz w:val="18"/>
                <w:szCs w:val="18"/>
              </w:rPr>
              <w:t>81%</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B7EF5BB" w14:textId="77777777" w:rsidR="00EB47EC" w:rsidRDefault="00000000">
            <w:r>
              <w:rPr>
                <w:rFonts w:ascii="Arial" w:eastAsia="Arial" w:hAnsi="Arial" w:cs="Arial"/>
                <w:color w:val="1A1A1A"/>
                <w:sz w:val="18"/>
                <w:szCs w:val="18"/>
              </w:rPr>
              <w:t>Strong</w:t>
            </w:r>
          </w:p>
        </w:tc>
      </w:tr>
      <w:tr w:rsidR="00EB47EC" w14:paraId="2FE8418F" w14:textId="77777777">
        <w:trPr>
          <w:cantSplit/>
        </w:trPr>
        <w:tc>
          <w:tcPr>
            <w:tcW w:w="3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C2A7E5D" w14:textId="77777777" w:rsidR="00EB47EC" w:rsidRDefault="00000000">
            <w:r>
              <w:rPr>
                <w:rFonts w:ascii="Arial" w:eastAsia="Arial" w:hAnsi="Arial" w:cs="Arial"/>
                <w:b/>
                <w:bCs/>
                <w:color w:val="1A1A1A"/>
                <w:sz w:val="18"/>
                <w:szCs w:val="18"/>
              </w:rPr>
              <w:t>Product Security Properties</w:t>
            </w:r>
          </w:p>
        </w:tc>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53E7ADE" w14:textId="77777777" w:rsidR="00EB47EC" w:rsidRDefault="00000000">
            <w:r>
              <w:rPr>
                <w:rFonts w:ascii="Arial" w:eastAsia="Arial" w:hAnsi="Arial" w:cs="Arial"/>
                <w:color w:val="1A1A1A"/>
                <w:sz w:val="16"/>
                <w:szCs w:val="16"/>
              </w:rPr>
              <w:t>Organisational standards for access control, data protection, encryption, integrity monitoring and corruption detection, data minimisation, exploitation mitigation, secure data removal, attack surface minimisation, connected device impact minimisation and resilience.</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8FC829E" w14:textId="77777777" w:rsidR="00EB47EC" w:rsidRDefault="00000000">
            <w:r>
              <w:rPr>
                <w:rFonts w:ascii="Arial" w:eastAsia="Arial" w:hAnsi="Arial" w:cs="Arial"/>
                <w:b/>
                <w:bCs/>
                <w:color w:val="1A1A1A"/>
                <w:sz w:val="18"/>
                <w:szCs w:val="18"/>
              </w:rPr>
              <w:t>79%</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A2BDDC8" w14:textId="77777777" w:rsidR="00EB47EC" w:rsidRDefault="00000000">
            <w:r>
              <w:rPr>
                <w:rFonts w:ascii="Arial" w:eastAsia="Arial" w:hAnsi="Arial" w:cs="Arial"/>
                <w:color w:val="1A1A1A"/>
                <w:sz w:val="18"/>
                <w:szCs w:val="18"/>
              </w:rPr>
              <w:t>Strong</w:t>
            </w:r>
          </w:p>
        </w:tc>
      </w:tr>
      <w:tr w:rsidR="00EB47EC" w14:paraId="33F3DBF1" w14:textId="77777777">
        <w:trPr>
          <w:cantSplit/>
        </w:trPr>
        <w:tc>
          <w:tcPr>
            <w:tcW w:w="3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C27E71C" w14:textId="77777777" w:rsidR="00EB47EC" w:rsidRDefault="00000000">
            <w:r>
              <w:rPr>
                <w:rFonts w:ascii="Arial" w:eastAsia="Arial" w:hAnsi="Arial" w:cs="Arial"/>
                <w:b/>
                <w:bCs/>
                <w:color w:val="1A1A1A"/>
                <w:sz w:val="18"/>
                <w:szCs w:val="18"/>
              </w:rPr>
              <w:t>User Information &amp; Transparency</w:t>
            </w:r>
          </w:p>
        </w:tc>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1DA070C" w14:textId="77777777" w:rsidR="00EB47EC" w:rsidRDefault="00000000">
            <w:r>
              <w:rPr>
                <w:rFonts w:ascii="Arial" w:eastAsia="Arial" w:hAnsi="Arial" w:cs="Arial"/>
                <w:color w:val="1A1A1A"/>
                <w:sz w:val="16"/>
                <w:szCs w:val="16"/>
              </w:rPr>
              <w:t>Standards for user documentation, security instructions, manufacturer identification and labelling, and support period communication.</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44D2429" w14:textId="77777777" w:rsidR="00EB47EC" w:rsidRDefault="00000000">
            <w:r>
              <w:rPr>
                <w:rFonts w:ascii="Arial" w:eastAsia="Arial" w:hAnsi="Arial" w:cs="Arial"/>
                <w:b/>
                <w:bCs/>
                <w:color w:val="1A1A1A"/>
                <w:sz w:val="18"/>
                <w:szCs w:val="18"/>
              </w:rPr>
              <w:t>59%</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E7119B3" w14:textId="77777777" w:rsidR="00EB47EC" w:rsidRDefault="00000000">
            <w:r>
              <w:rPr>
                <w:rFonts w:ascii="Arial" w:eastAsia="Arial" w:hAnsi="Arial" w:cs="Arial"/>
                <w:color w:val="1A1A1A"/>
                <w:sz w:val="18"/>
                <w:szCs w:val="18"/>
              </w:rPr>
              <w:t>Developing</w:t>
            </w:r>
          </w:p>
        </w:tc>
      </w:tr>
      <w:tr w:rsidR="00EB47EC" w14:paraId="064C6B0C" w14:textId="77777777">
        <w:trPr>
          <w:cantSplit/>
        </w:trPr>
        <w:tc>
          <w:tcPr>
            <w:tcW w:w="3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D498651" w14:textId="77777777" w:rsidR="00EB47EC" w:rsidRDefault="00000000">
            <w:r>
              <w:rPr>
                <w:rFonts w:ascii="Arial" w:eastAsia="Arial" w:hAnsi="Arial" w:cs="Arial"/>
                <w:b/>
                <w:bCs/>
                <w:color w:val="1A1A1A"/>
                <w:sz w:val="18"/>
                <w:szCs w:val="18"/>
              </w:rPr>
              <w:t>Incident Reporting &amp; Communication</w:t>
            </w:r>
          </w:p>
        </w:tc>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8B29C20" w14:textId="77777777" w:rsidR="00EB47EC" w:rsidRDefault="00000000">
            <w:r>
              <w:rPr>
                <w:rFonts w:ascii="Arial" w:eastAsia="Arial" w:hAnsi="Arial" w:cs="Arial"/>
                <w:color w:val="1A1A1A"/>
                <w:sz w:val="16"/>
                <w:szCs w:val="16"/>
              </w:rPr>
              <w:t>Procedures for reporting to CSIRT/ENISA within mandated timeframes and notifying affected users.</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71C7B7F" w14:textId="77777777" w:rsidR="00EB47EC" w:rsidRDefault="00000000">
            <w:r>
              <w:rPr>
                <w:rFonts w:ascii="Arial" w:eastAsia="Arial" w:hAnsi="Arial" w:cs="Arial"/>
                <w:b/>
                <w:bCs/>
                <w:color w:val="1A1A1A"/>
                <w:sz w:val="18"/>
                <w:szCs w:val="18"/>
              </w:rPr>
              <w:t>50%</w:t>
            </w:r>
          </w:p>
        </w:tc>
        <w:tc>
          <w:tcPr>
            <w:tcW w:w="1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ABAAB5A" w14:textId="77777777" w:rsidR="00EB47EC" w:rsidRDefault="00000000">
            <w:r>
              <w:rPr>
                <w:rFonts w:ascii="Arial" w:eastAsia="Arial" w:hAnsi="Arial" w:cs="Arial"/>
                <w:color w:val="1A1A1A"/>
                <w:sz w:val="18"/>
                <w:szCs w:val="18"/>
              </w:rPr>
              <w:t>Developing</w:t>
            </w:r>
          </w:p>
        </w:tc>
      </w:tr>
    </w:tbl>
    <w:p w14:paraId="3CB36C8C" w14:textId="77777777" w:rsidR="00EB47EC" w:rsidRDefault="00000000">
      <w:r>
        <w:br w:type="page"/>
      </w:r>
    </w:p>
    <w:p w14:paraId="4A5811BF" w14:textId="77777777" w:rsidR="00EB47EC" w:rsidRDefault="00000000">
      <w:pPr>
        <w:spacing w:after="200"/>
      </w:pPr>
      <w:r>
        <w:rPr>
          <w:rFonts w:ascii="Arial" w:eastAsia="Arial" w:hAnsi="Arial" w:cs="Arial"/>
          <w:b/>
          <w:bCs/>
          <w:color w:val="1A1A1A"/>
          <w:sz w:val="32"/>
          <w:szCs w:val="32"/>
        </w:rPr>
        <w:lastRenderedPageBreak/>
        <w:t>Compliance Gap Register</w:t>
      </w:r>
    </w:p>
    <w:p w14:paraId="2FADB2E4" w14:textId="77777777" w:rsidR="00EB47EC" w:rsidRDefault="00000000">
      <w:pPr>
        <w:spacing w:after="300"/>
      </w:pPr>
      <w:r>
        <w:rPr>
          <w:rFonts w:ascii="Arial" w:eastAsia="Arial" w:hAnsi="Arial" w:cs="Arial"/>
          <w:color w:val="666666"/>
        </w:rPr>
        <w:t>32 gaps identified requiring remediation, sorted by domain. Each gap includes the current compliance status, CRA article reference, and specific recommendation.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4"/>
        <w:gridCol w:w="1034"/>
        <w:gridCol w:w="1149"/>
        <w:gridCol w:w="2220"/>
        <w:gridCol w:w="2739"/>
      </w:tblGrid>
      <w:tr w:rsidR="00EB47EC" w14:paraId="2DF2A7E8" w14:textId="77777777">
        <w:trPr>
          <w:tblHeader/>
        </w:trPr>
        <w:tc>
          <w:tcPr>
            <w:tcW w:w="22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35B49AE3" w14:textId="77777777" w:rsidR="00EB47EC" w:rsidRDefault="00000000">
            <w:r>
              <w:rPr>
                <w:rFonts w:ascii="Arial" w:eastAsia="Arial" w:hAnsi="Arial" w:cs="Arial"/>
                <w:b/>
                <w:bCs/>
                <w:color w:val="1A1A1A"/>
                <w:sz w:val="18"/>
                <w:szCs w:val="18"/>
              </w:rPr>
              <w:t>Gap</w:t>
            </w:r>
          </w:p>
        </w:tc>
        <w:tc>
          <w:tcPr>
            <w:tcW w:w="11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6CA6C9EF" w14:textId="77777777" w:rsidR="00EB47EC" w:rsidRDefault="00000000">
            <w:r>
              <w:rPr>
                <w:rFonts w:ascii="Arial" w:eastAsia="Arial" w:hAnsi="Arial" w:cs="Arial"/>
                <w:b/>
                <w:bCs/>
                <w:color w:val="1A1A1A"/>
                <w:sz w:val="18"/>
                <w:szCs w:val="18"/>
              </w:rPr>
              <w:t>Status</w:t>
            </w:r>
          </w:p>
        </w:tc>
        <w:tc>
          <w:tcPr>
            <w:tcW w:w="12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559DBD00" w14:textId="77777777" w:rsidR="00EB47EC" w:rsidRDefault="00000000">
            <w:r>
              <w:rPr>
                <w:rFonts w:ascii="Arial" w:eastAsia="Arial" w:hAnsi="Arial" w:cs="Arial"/>
                <w:b/>
                <w:bCs/>
                <w:color w:val="1A1A1A"/>
                <w:sz w:val="18"/>
                <w:szCs w:val="18"/>
              </w:rPr>
              <w:t>CRA Ref</w:t>
            </w:r>
          </w:p>
        </w:tc>
        <w:tc>
          <w:tcPr>
            <w:tcW w:w="27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1F68877D" w14:textId="77777777" w:rsidR="00EB47EC" w:rsidRDefault="00000000">
            <w:r>
              <w:rPr>
                <w:rFonts w:ascii="Arial" w:eastAsia="Arial" w:hAnsi="Arial" w:cs="Arial"/>
                <w:b/>
                <w:bCs/>
                <w:color w:val="1A1A1A"/>
                <w:sz w:val="18"/>
                <w:szCs w:val="18"/>
              </w:rPr>
              <w:t>Risk</w:t>
            </w:r>
          </w:p>
        </w:tc>
        <w:tc>
          <w:tcPr>
            <w:tcW w:w="33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08227BC3" w14:textId="77777777" w:rsidR="00EB47EC" w:rsidRDefault="00000000">
            <w:r>
              <w:rPr>
                <w:rFonts w:ascii="Arial" w:eastAsia="Arial" w:hAnsi="Arial" w:cs="Arial"/>
                <w:b/>
                <w:bCs/>
                <w:color w:val="1A1A1A"/>
                <w:sz w:val="18"/>
                <w:szCs w:val="18"/>
              </w:rPr>
              <w:t>Recommendation</w:t>
            </w:r>
          </w:p>
        </w:tc>
      </w:tr>
      <w:tr w:rsidR="00EB47EC" w14:paraId="49691D1B"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1202E5F" w14:textId="77777777" w:rsidR="00EB47EC" w:rsidRDefault="00000000">
            <w:r>
              <w:rPr>
                <w:rFonts w:ascii="Arial" w:eastAsia="Arial" w:hAnsi="Arial" w:cs="Arial"/>
                <w:b/>
                <w:bCs/>
                <w:color w:val="1A1A1A"/>
                <w:sz w:val="16"/>
                <w:szCs w:val="16"/>
              </w:rPr>
              <w:t>No CRA incident reporting procedures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A9FCA1A"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F192E3F" w14:textId="77777777" w:rsidR="00EB47EC" w:rsidRDefault="00000000">
            <w:r>
              <w:rPr>
                <w:rFonts w:ascii="Arial" w:eastAsia="Arial" w:hAnsi="Arial" w:cs="Arial"/>
                <w:color w:val="1A1A1A"/>
                <w:sz w:val="16"/>
                <w:szCs w:val="16"/>
              </w:rPr>
              <w:t>Article 14</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41008D1" w14:textId="77777777" w:rsidR="00EB47EC" w:rsidRDefault="00000000">
            <w:r>
              <w:rPr>
                <w:rFonts w:ascii="Arial" w:eastAsia="Arial" w:hAnsi="Arial" w:cs="Arial"/>
                <w:color w:val="1A1A1A"/>
                <w:sz w:val="16"/>
                <w:szCs w:val="16"/>
              </w:rPr>
              <w:t>Missed reporting deadlines constitute a direct CRA violation with potential regulatory penalties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62F2347" w14:textId="77777777" w:rsidR="00EB47EC" w:rsidRDefault="00000000">
            <w:r>
              <w:rPr>
                <w:rFonts w:ascii="Arial" w:eastAsia="Arial" w:hAnsi="Arial" w:cs="Arial"/>
                <w:color w:val="1A1A1A"/>
                <w:sz w:val="16"/>
                <w:szCs w:val="16"/>
              </w:rPr>
              <w:t>Implement Article 14 reporting procedures (24-hour early warning, 72-hour notification, 14-day final report). Pre-register with CSIRT and ENISA and validate through exercises.</w:t>
            </w:r>
          </w:p>
        </w:tc>
      </w:tr>
      <w:tr w:rsidR="00EB47EC" w14:paraId="4A931B91"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08E6521" w14:textId="77777777" w:rsidR="00EB47EC" w:rsidRDefault="00000000">
            <w:r>
              <w:rPr>
                <w:rFonts w:ascii="Arial" w:eastAsia="Arial" w:hAnsi="Arial" w:cs="Arial"/>
                <w:b/>
                <w:bCs/>
                <w:color w:val="1A1A1A"/>
                <w:sz w:val="16"/>
                <w:szCs w:val="16"/>
              </w:rPr>
              <w:t>No user incident notification procedures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1CA9866"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4457318" w14:textId="77777777" w:rsidR="00EB47EC" w:rsidRDefault="00000000">
            <w:r>
              <w:rPr>
                <w:rFonts w:ascii="Arial" w:eastAsia="Arial" w:hAnsi="Arial" w:cs="Arial"/>
                <w:color w:val="1A1A1A"/>
                <w:sz w:val="16"/>
                <w:szCs w:val="16"/>
              </w:rPr>
              <w:t>Article 14(8)</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75D4B17" w14:textId="77777777" w:rsidR="00EB47EC" w:rsidRDefault="00000000">
            <w:r>
              <w:rPr>
                <w:rFonts w:ascii="Arial" w:eastAsia="Arial" w:hAnsi="Arial" w:cs="Arial"/>
                <w:color w:val="1A1A1A"/>
                <w:sz w:val="16"/>
                <w:szCs w:val="16"/>
              </w:rPr>
              <w:t>Uninformed users cannot take protective action, amplifying the impact of security incidents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116965C" w14:textId="77777777" w:rsidR="00EB47EC" w:rsidRDefault="00000000">
            <w:r>
              <w:rPr>
                <w:rFonts w:ascii="Arial" w:eastAsia="Arial" w:hAnsi="Arial" w:cs="Arial"/>
                <w:color w:val="1A1A1A"/>
                <w:sz w:val="16"/>
                <w:szCs w:val="16"/>
              </w:rPr>
              <w:t>Develop user notification procedures with templates, affected user identification and remediation guidance. Test regularly across the product portfolio.</w:t>
            </w:r>
          </w:p>
        </w:tc>
      </w:tr>
      <w:tr w:rsidR="00EB47EC" w14:paraId="20DDAC0D"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89562D8" w14:textId="77777777" w:rsidR="00EB47EC" w:rsidRDefault="00000000">
            <w:r>
              <w:rPr>
                <w:rFonts w:ascii="Arial" w:eastAsia="Arial" w:hAnsi="Arial" w:cs="Arial"/>
                <w:b/>
                <w:bCs/>
                <w:color w:val="1A1A1A"/>
                <w:sz w:val="16"/>
                <w:szCs w:val="16"/>
              </w:rPr>
              <w:t>No pre-registration with CSIRT or ENISA reporting platform</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5FDB1C9"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09A6A7F" w14:textId="77777777" w:rsidR="00EB47EC" w:rsidRDefault="00000000">
            <w:r>
              <w:rPr>
                <w:rFonts w:ascii="Arial" w:eastAsia="Arial" w:hAnsi="Arial" w:cs="Arial"/>
                <w:color w:val="1A1A1A"/>
                <w:sz w:val="16"/>
                <w:szCs w:val="16"/>
              </w:rPr>
              <w:t>Article 14, Article 16</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EF47B5A" w14:textId="77777777" w:rsidR="00EB47EC" w:rsidRDefault="00000000">
            <w:r>
              <w:rPr>
                <w:rFonts w:ascii="Arial" w:eastAsia="Arial" w:hAnsi="Arial" w:cs="Arial"/>
                <w:color w:val="1A1A1A"/>
                <w:sz w:val="16"/>
                <w:szCs w:val="16"/>
              </w:rPr>
              <w:t>The 24-hour early warning deadline may be missed when an actively exploited vulnerability is discovered</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42D1725" w14:textId="77777777" w:rsidR="00EB47EC" w:rsidRDefault="00000000">
            <w:r>
              <w:rPr>
                <w:rFonts w:ascii="Arial" w:eastAsia="Arial" w:hAnsi="Arial" w:cs="Arial"/>
                <w:color w:val="1A1A1A"/>
                <w:sz w:val="16"/>
                <w:szCs w:val="16"/>
              </w:rPr>
              <w:t>Identify and pre-register with the designated CSIRT(s) and ENISA reporting platform for each target Member State. Test submission processes.</w:t>
            </w:r>
          </w:p>
        </w:tc>
      </w:tr>
      <w:tr w:rsidR="00EB47EC" w14:paraId="0686F5C8"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31E3EBE" w14:textId="77777777" w:rsidR="00EB47EC" w:rsidRDefault="00000000">
            <w:r>
              <w:rPr>
                <w:rFonts w:ascii="Arial" w:eastAsia="Arial" w:hAnsi="Arial" w:cs="Arial"/>
                <w:b/>
                <w:bCs/>
                <w:color w:val="1A1A1A"/>
                <w:sz w:val="16"/>
                <w:szCs w:val="16"/>
              </w:rPr>
              <w:t>No internal escalation criteria for CRA reporting triggers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A59FEEC"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995A656" w14:textId="77777777" w:rsidR="00EB47EC" w:rsidRDefault="00000000">
            <w:r>
              <w:rPr>
                <w:rFonts w:ascii="Arial" w:eastAsia="Arial" w:hAnsi="Arial" w:cs="Arial"/>
                <w:color w:val="1A1A1A"/>
                <w:sz w:val="16"/>
                <w:szCs w:val="16"/>
              </w:rPr>
              <w:t>Article 14</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D1AFBB9" w14:textId="77777777" w:rsidR="00EB47EC" w:rsidRDefault="00000000">
            <w:r>
              <w:rPr>
                <w:rFonts w:ascii="Arial" w:eastAsia="Arial" w:hAnsi="Arial" w:cs="Arial"/>
                <w:color w:val="1A1A1A"/>
                <w:sz w:val="16"/>
                <w:szCs w:val="16"/>
              </w:rPr>
              <w:t>Reportable events may go unidentified or reporting may exceed mandated timeframes, resulting in non-compliance</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F37B0D0" w14:textId="77777777" w:rsidR="00EB47EC" w:rsidRDefault="00000000">
            <w:r>
              <w:rPr>
                <w:rFonts w:ascii="Arial" w:eastAsia="Arial" w:hAnsi="Arial" w:cs="Arial"/>
                <w:color w:val="1A1A1A"/>
                <w:sz w:val="16"/>
                <w:szCs w:val="16"/>
              </w:rPr>
              <w:t>Develop escalation procedures with decision trees for Article 14 reporting triggers. Define actively exploited vulnerability criteria and assign decision-making roles.</w:t>
            </w:r>
          </w:p>
        </w:tc>
      </w:tr>
      <w:tr w:rsidR="00EB47EC" w14:paraId="2EC06C83"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28FA172" w14:textId="77777777" w:rsidR="00EB47EC" w:rsidRDefault="00000000">
            <w:r>
              <w:rPr>
                <w:rFonts w:ascii="Arial" w:eastAsia="Arial" w:hAnsi="Arial" w:cs="Arial"/>
                <w:b/>
                <w:bCs/>
                <w:color w:val="1A1A1A"/>
                <w:sz w:val="16"/>
                <w:szCs w:val="16"/>
              </w:rPr>
              <w:t>No CRA incident reporting exercises conducted</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B315732"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EEB0FA2" w14:textId="77777777" w:rsidR="00EB47EC" w:rsidRDefault="00000000">
            <w:r>
              <w:rPr>
                <w:rFonts w:ascii="Arial" w:eastAsia="Arial" w:hAnsi="Arial" w:cs="Arial"/>
                <w:color w:val="1A1A1A"/>
                <w:sz w:val="16"/>
                <w:szCs w:val="16"/>
              </w:rPr>
              <w:t>Article 14</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AC364A2" w14:textId="77777777" w:rsidR="00EB47EC" w:rsidRDefault="00000000">
            <w:r>
              <w:rPr>
                <w:rFonts w:ascii="Arial" w:eastAsia="Arial" w:hAnsi="Arial" w:cs="Arial"/>
                <w:color w:val="1A1A1A"/>
                <w:sz w:val="16"/>
                <w:szCs w:val="16"/>
              </w:rPr>
              <w:t>Untested reporting procedures may fail during real incidents, causing missed deadlines and incomplete notifications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4F89030" w14:textId="77777777" w:rsidR="00EB47EC" w:rsidRDefault="00000000">
            <w:r>
              <w:rPr>
                <w:rFonts w:ascii="Arial" w:eastAsia="Arial" w:hAnsi="Arial" w:cs="Arial"/>
                <w:color w:val="1A1A1A"/>
                <w:sz w:val="16"/>
                <w:szCs w:val="16"/>
              </w:rPr>
              <w:t>Conduct periodic tabletop exercises testing the full CRA reporting chain (24-hour, 72-hour and 14-day timelines). Document findings and track remediation.</w:t>
            </w:r>
          </w:p>
        </w:tc>
      </w:tr>
      <w:tr w:rsidR="00EB47EC" w14:paraId="1B4D45B5"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70FA6B9" w14:textId="77777777" w:rsidR="00EB47EC" w:rsidRDefault="00000000">
            <w:r>
              <w:rPr>
                <w:rFonts w:ascii="Arial" w:eastAsia="Arial" w:hAnsi="Arial" w:cs="Arial"/>
                <w:b/>
                <w:bCs/>
                <w:color w:val="1A1A1A"/>
                <w:sz w:val="16"/>
                <w:szCs w:val="16"/>
              </w:rPr>
              <w:t>No security logging standards for products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E7BC57A"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D538AA0" w14:textId="77777777" w:rsidR="00EB47EC" w:rsidRDefault="00000000">
            <w:r>
              <w:rPr>
                <w:rFonts w:ascii="Arial" w:eastAsia="Arial" w:hAnsi="Arial" w:cs="Arial"/>
                <w:color w:val="1A1A1A"/>
                <w:sz w:val="16"/>
                <w:szCs w:val="16"/>
              </w:rPr>
              <w:t>Annex I Part I(2)(l), Annex I Part I(3)(h)(i)</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8F9E388" w14:textId="77777777" w:rsidR="00EB47EC" w:rsidRDefault="00000000">
            <w:r>
              <w:rPr>
                <w:rFonts w:ascii="Arial" w:eastAsia="Arial" w:hAnsi="Arial" w:cs="Arial"/>
                <w:color w:val="1A1A1A"/>
                <w:sz w:val="16"/>
                <w:szCs w:val="16"/>
              </w:rPr>
              <w:t>Security incidents may go undetected and uninvestigated, and missing opt-out mechanisms violate CRA user rights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59AB638" w14:textId="77777777" w:rsidR="00EB47EC" w:rsidRDefault="00000000">
            <w:r>
              <w:rPr>
                <w:rFonts w:ascii="Arial" w:eastAsia="Arial" w:hAnsi="Arial" w:cs="Arial"/>
                <w:color w:val="1A1A1A"/>
                <w:sz w:val="16"/>
                <w:szCs w:val="16"/>
              </w:rPr>
              <w:t>Define security event logging standards covering event types, format, retention, monitoring and log protection. Include a user opt-out mechanism.</w:t>
            </w:r>
          </w:p>
        </w:tc>
      </w:tr>
      <w:tr w:rsidR="00EB47EC" w14:paraId="50AD5AB3"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E77EF8A" w14:textId="77777777" w:rsidR="00EB47EC" w:rsidRDefault="00000000">
            <w:r>
              <w:rPr>
                <w:rFonts w:ascii="Arial" w:eastAsia="Arial" w:hAnsi="Arial" w:cs="Arial"/>
                <w:b/>
                <w:bCs/>
                <w:color w:val="1A1A1A"/>
                <w:sz w:val="16"/>
                <w:szCs w:val="16"/>
              </w:rPr>
              <w:t>No CRA cessation of operations arrangements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A2D8993"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003C3C4" w14:textId="77777777" w:rsidR="00EB47EC" w:rsidRDefault="00000000">
            <w:r>
              <w:rPr>
                <w:rFonts w:ascii="Arial" w:eastAsia="Arial" w:hAnsi="Arial" w:cs="Arial"/>
                <w:color w:val="1A1A1A"/>
                <w:sz w:val="16"/>
                <w:szCs w:val="16"/>
              </w:rPr>
              <w:t>Article 13(23)</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B79F73E" w14:textId="77777777" w:rsidR="00EB47EC" w:rsidRDefault="00000000">
            <w:r>
              <w:rPr>
                <w:rFonts w:ascii="Arial" w:eastAsia="Arial" w:hAnsi="Arial" w:cs="Arial"/>
                <w:color w:val="1A1A1A"/>
                <w:sz w:val="16"/>
                <w:szCs w:val="16"/>
              </w:rPr>
              <w:t>Users lose security updates if the organisation ceases operations, and Article 13(23) notification obligations may go unmet</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10ED27A" w14:textId="77777777" w:rsidR="00EB47EC" w:rsidRDefault="00000000">
            <w:r>
              <w:rPr>
                <w:rFonts w:ascii="Arial" w:eastAsia="Arial" w:hAnsi="Arial" w:cs="Arial"/>
                <w:color w:val="1A1A1A"/>
                <w:sz w:val="16"/>
                <w:szCs w:val="16"/>
              </w:rPr>
              <w:t>Develop business continuity arrangements covering cessation notification, succession plans (e.g. source code escrow), documentation handover and acquisition contingencies. Review annually.</w:t>
            </w:r>
          </w:p>
        </w:tc>
      </w:tr>
      <w:tr w:rsidR="00EB47EC" w14:paraId="4C0E0443"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57D70B4" w14:textId="77777777" w:rsidR="00EB47EC" w:rsidRDefault="00000000">
            <w:r>
              <w:rPr>
                <w:rFonts w:ascii="Arial" w:eastAsia="Arial" w:hAnsi="Arial" w:cs="Arial"/>
                <w:b/>
                <w:bCs/>
                <w:color w:val="1A1A1A"/>
                <w:sz w:val="16"/>
                <w:szCs w:val="16"/>
              </w:rPr>
              <w:t>No end-of-support transition procedures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8595D8A"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7666127" w14:textId="77777777" w:rsidR="00EB47EC" w:rsidRDefault="00000000">
            <w:r>
              <w:rPr>
                <w:rFonts w:ascii="Arial" w:eastAsia="Arial" w:hAnsi="Arial" w:cs="Arial"/>
                <w:color w:val="1A1A1A"/>
                <w:sz w:val="16"/>
                <w:szCs w:val="16"/>
              </w:rPr>
              <w:t>Article 13(6)(7)(8), Annex II(3)</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DAA1632" w14:textId="77777777" w:rsidR="00EB47EC" w:rsidRDefault="00000000">
            <w:r>
              <w:rPr>
                <w:rFonts w:ascii="Arial" w:eastAsia="Arial" w:hAnsi="Arial" w:cs="Arial"/>
                <w:color w:val="1A1A1A"/>
                <w:sz w:val="16"/>
                <w:szCs w:val="16"/>
              </w:rPr>
              <w:t>Users may remain unaware that security updates have ceased, leaving them exposed on unsupported products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1224DC2" w14:textId="77777777" w:rsidR="00EB47EC" w:rsidRDefault="00000000">
            <w:r>
              <w:rPr>
                <w:rFonts w:ascii="Arial" w:eastAsia="Arial" w:hAnsi="Arial" w:cs="Arial"/>
                <w:color w:val="1A1A1A"/>
                <w:sz w:val="16"/>
                <w:szCs w:val="16"/>
              </w:rPr>
              <w:t>Establish end-of-support procedures with advance notification (6–12 months minimum), final hardening guidance and migration advice.</w:t>
            </w:r>
          </w:p>
        </w:tc>
      </w:tr>
      <w:tr w:rsidR="00EB47EC" w14:paraId="230F3D06"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0C650AF" w14:textId="77777777" w:rsidR="00EB47EC" w:rsidRDefault="00000000">
            <w:r>
              <w:rPr>
                <w:rFonts w:ascii="Arial" w:eastAsia="Arial" w:hAnsi="Arial" w:cs="Arial"/>
                <w:b/>
                <w:bCs/>
                <w:color w:val="1A1A1A"/>
                <w:sz w:val="16"/>
                <w:szCs w:val="16"/>
              </w:rPr>
              <w:t>No formal post-market surveillance plan covering continuous monitoring, threat intelligence and corrective action triggers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3123B50"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D7A61ED" w14:textId="77777777" w:rsidR="00EB47EC" w:rsidRDefault="00000000">
            <w:r>
              <w:rPr>
                <w:rFonts w:ascii="Arial" w:eastAsia="Arial" w:hAnsi="Arial" w:cs="Arial"/>
                <w:color w:val="1A1A1A"/>
                <w:sz w:val="16"/>
                <w:szCs w:val="16"/>
              </w:rPr>
              <w:t>Article 15, Article 10(2), Article 10(12)</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B0B9038" w14:textId="77777777" w:rsidR="00EB47EC" w:rsidRDefault="00000000">
            <w:r>
              <w:rPr>
                <w:rFonts w:ascii="Arial" w:eastAsia="Arial" w:hAnsi="Arial" w:cs="Arial"/>
                <w:color w:val="1A1A1A"/>
                <w:sz w:val="16"/>
                <w:szCs w:val="16"/>
              </w:rPr>
              <w:t>Emerging threats and field vulnerabilities in marketed products may go unidentified, delaying response and risking non-compliance</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5A8AD5B" w14:textId="77777777" w:rsidR="00EB47EC" w:rsidRDefault="00000000">
            <w:r>
              <w:rPr>
                <w:rFonts w:ascii="Arial" w:eastAsia="Arial" w:hAnsi="Arial" w:cs="Arial"/>
                <w:color w:val="1A1A1A"/>
                <w:sz w:val="16"/>
                <w:szCs w:val="16"/>
              </w:rPr>
              <w:t>Develop a post-market surveillance plan with continuous vulnerability monitoring, threat intelligence, periodic reviews and defined corrective action triggers.</w:t>
            </w:r>
          </w:p>
        </w:tc>
      </w:tr>
      <w:tr w:rsidR="00EB47EC" w14:paraId="57B2186D"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AA4D52A" w14:textId="77777777" w:rsidR="00EB47EC" w:rsidRDefault="00000000">
            <w:r>
              <w:rPr>
                <w:rFonts w:ascii="Arial" w:eastAsia="Arial" w:hAnsi="Arial" w:cs="Arial"/>
                <w:b/>
                <w:bCs/>
                <w:color w:val="1A1A1A"/>
                <w:sz w:val="16"/>
                <w:szCs w:val="16"/>
              </w:rPr>
              <w:t>No secure data removal or portability standards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09278C3"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E2F95C6" w14:textId="77777777" w:rsidR="00EB47EC" w:rsidRDefault="00000000">
            <w:r>
              <w:rPr>
                <w:rFonts w:ascii="Arial" w:eastAsia="Arial" w:hAnsi="Arial" w:cs="Arial"/>
                <w:color w:val="1A1A1A"/>
                <w:sz w:val="16"/>
                <w:szCs w:val="16"/>
              </w:rPr>
              <w:t>Annex I Part I(2)(m)</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291AAF8" w14:textId="77777777" w:rsidR="00EB47EC" w:rsidRDefault="00000000">
            <w:r>
              <w:rPr>
                <w:rFonts w:ascii="Arial" w:eastAsia="Arial" w:hAnsi="Arial" w:cs="Arial"/>
                <w:color w:val="1A1A1A"/>
                <w:sz w:val="16"/>
                <w:szCs w:val="16"/>
              </w:rPr>
              <w:t>Residual user data remains exposed on decommissioned products, violating CRA Annex I requirements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9589DFE" w14:textId="77777777" w:rsidR="00EB47EC" w:rsidRDefault="00000000">
            <w:r>
              <w:rPr>
                <w:rFonts w:ascii="Arial" w:eastAsia="Arial" w:hAnsi="Arial" w:cs="Arial"/>
                <w:color w:val="1A1A1A"/>
                <w:sz w:val="16"/>
                <w:szCs w:val="16"/>
              </w:rPr>
              <w:t>Require secure data erasure and factory reset capability across all products. Verify data removal during security testing.</w:t>
            </w:r>
          </w:p>
        </w:tc>
      </w:tr>
      <w:tr w:rsidR="00EB47EC" w14:paraId="729065E7"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65FF0E0" w14:textId="77777777" w:rsidR="00EB47EC" w:rsidRDefault="00000000">
            <w:r>
              <w:rPr>
                <w:rFonts w:ascii="Arial" w:eastAsia="Arial" w:hAnsi="Arial" w:cs="Arial"/>
                <w:b/>
                <w:bCs/>
                <w:color w:val="1A1A1A"/>
                <w:sz w:val="16"/>
                <w:szCs w:val="16"/>
              </w:rPr>
              <w:lastRenderedPageBreak/>
              <w:t>No default service minimisation standards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9A8B511"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8371209" w14:textId="77777777" w:rsidR="00EB47EC" w:rsidRDefault="00000000">
            <w:r>
              <w:rPr>
                <w:rFonts w:ascii="Arial" w:eastAsia="Arial" w:hAnsi="Arial" w:cs="Arial"/>
                <w:color w:val="1A1A1A"/>
                <w:sz w:val="16"/>
                <w:szCs w:val="16"/>
              </w:rPr>
              <w:t>Annex I Part I(2)(i), Annex I Part I(3)(f)</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3BBBA56" w14:textId="77777777" w:rsidR="00EB47EC" w:rsidRDefault="00000000">
            <w:r>
              <w:rPr>
                <w:rFonts w:ascii="Arial" w:eastAsia="Arial" w:hAnsi="Arial" w:cs="Arial"/>
                <w:color w:val="1A1A1A"/>
                <w:sz w:val="16"/>
                <w:szCs w:val="16"/>
              </w:rPr>
              <w:t>Unnecessary interfaces and services expand the attack surface available to adversaries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3E851A1" w14:textId="77777777" w:rsidR="00EB47EC" w:rsidRDefault="00000000">
            <w:r>
              <w:rPr>
                <w:rFonts w:ascii="Arial" w:eastAsia="Arial" w:hAnsi="Arial" w:cs="Arial"/>
                <w:color w:val="1A1A1A"/>
                <w:sz w:val="16"/>
                <w:szCs w:val="16"/>
              </w:rPr>
              <w:t>Require only necessary interfaces, ports and services enabled by default. Mandate attack surface review and documented justification during development.</w:t>
            </w:r>
          </w:p>
        </w:tc>
      </w:tr>
      <w:tr w:rsidR="00EB47EC" w14:paraId="329BF3E2"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8A235A5" w14:textId="77777777" w:rsidR="00EB47EC" w:rsidRDefault="00000000">
            <w:r>
              <w:rPr>
                <w:rFonts w:ascii="Arial" w:eastAsia="Arial" w:hAnsi="Arial" w:cs="Arial"/>
                <w:b/>
                <w:bCs/>
                <w:color w:val="1A1A1A"/>
                <w:sz w:val="16"/>
                <w:szCs w:val="16"/>
              </w:rPr>
              <w:t>No security standards for cloud backends, web dashboards and remote management interfaces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1F0D5FA"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F4DCC42" w14:textId="77777777" w:rsidR="00EB47EC" w:rsidRDefault="00000000">
            <w:r>
              <w:rPr>
                <w:rFonts w:ascii="Arial" w:eastAsia="Arial" w:hAnsi="Arial" w:cs="Arial"/>
                <w:color w:val="1A1A1A"/>
                <w:sz w:val="16"/>
                <w:szCs w:val="16"/>
              </w:rPr>
              <w:t>Annex I Part I(1)(a)(b)(c), Article 10(1)</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6A1E428" w14:textId="77777777" w:rsidR="00EB47EC" w:rsidRDefault="00000000">
            <w:r>
              <w:rPr>
                <w:rFonts w:ascii="Arial" w:eastAsia="Arial" w:hAnsi="Arial" w:cs="Arial"/>
                <w:color w:val="1A1A1A"/>
                <w:sz w:val="16"/>
                <w:szCs w:val="16"/>
              </w:rPr>
              <w:t>Cloud backends and web interfaces may be compromised through weak authentication, missing MFA or poor session management</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BBAA6C1" w14:textId="77777777" w:rsidR="00EB47EC" w:rsidRDefault="00000000">
            <w:r>
              <w:rPr>
                <w:rFonts w:ascii="Arial" w:eastAsia="Arial" w:hAnsi="Arial" w:cs="Arial"/>
                <w:color w:val="1A1A1A"/>
                <w:sz w:val="16"/>
                <w:szCs w:val="16"/>
              </w:rPr>
              <w:t>Define security standards for cloud backends and web interfaces covering MFA for admin access, RBAC, secure sessions, rate limiting and event logging.</w:t>
            </w:r>
          </w:p>
        </w:tc>
      </w:tr>
      <w:tr w:rsidR="00EB47EC" w14:paraId="7459F8F7"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3E800AA" w14:textId="77777777" w:rsidR="00EB47EC" w:rsidRDefault="00000000">
            <w:r>
              <w:rPr>
                <w:rFonts w:ascii="Arial" w:eastAsia="Arial" w:hAnsi="Arial" w:cs="Arial"/>
                <w:b/>
                <w:bCs/>
                <w:color w:val="1A1A1A"/>
                <w:sz w:val="16"/>
                <w:szCs w:val="16"/>
              </w:rPr>
              <w:t>No standards for log retention, tamper protection or evidence preservation in products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66E5240"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1562895" w14:textId="77777777" w:rsidR="00EB47EC" w:rsidRDefault="00000000">
            <w:r>
              <w:rPr>
                <w:rFonts w:ascii="Arial" w:eastAsia="Arial" w:hAnsi="Arial" w:cs="Arial"/>
                <w:color w:val="1A1A1A"/>
                <w:sz w:val="16"/>
                <w:szCs w:val="16"/>
              </w:rPr>
              <w:t>Annex I Part I(1)(f), Article 10(1)</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15FB2FA" w14:textId="77777777" w:rsidR="00EB47EC" w:rsidRDefault="00000000">
            <w:r>
              <w:rPr>
                <w:rFonts w:ascii="Arial" w:eastAsia="Arial" w:hAnsi="Arial" w:cs="Arial"/>
                <w:color w:val="1A1A1A"/>
                <w:sz w:val="16"/>
                <w:szCs w:val="16"/>
              </w:rPr>
              <w:t>Security incidents cannot be properly investigated and forensic evidence may be lost or manipulated</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61C1F0" w14:textId="77777777" w:rsidR="00EB47EC" w:rsidRDefault="00000000">
            <w:r>
              <w:rPr>
                <w:rFonts w:ascii="Arial" w:eastAsia="Arial" w:hAnsi="Arial" w:cs="Arial"/>
                <w:color w:val="1A1A1A"/>
                <w:sz w:val="16"/>
                <w:szCs w:val="16"/>
              </w:rPr>
              <w:t>Define product logging standards with risk-based retention periods, tamper protection (e.g. append-only storage, cryptographic chaining) and secure forensic export.</w:t>
            </w:r>
          </w:p>
        </w:tc>
      </w:tr>
      <w:tr w:rsidR="00EB47EC" w14:paraId="55386189"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AB10CCC" w14:textId="77777777" w:rsidR="00EB47EC" w:rsidRDefault="00000000">
            <w:r>
              <w:rPr>
                <w:rFonts w:ascii="Arial" w:eastAsia="Arial" w:hAnsi="Arial" w:cs="Arial"/>
                <w:b/>
                <w:bCs/>
                <w:color w:val="1A1A1A"/>
                <w:sz w:val="16"/>
                <w:szCs w:val="16"/>
              </w:rPr>
              <w:t>No security architecture review process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544CBB2"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B47407C" w14:textId="77777777" w:rsidR="00EB47EC" w:rsidRDefault="00000000">
            <w:r>
              <w:rPr>
                <w:rFonts w:ascii="Arial" w:eastAsia="Arial" w:hAnsi="Arial" w:cs="Arial"/>
                <w:color w:val="1A1A1A"/>
                <w:sz w:val="16"/>
                <w:szCs w:val="16"/>
              </w:rPr>
              <w:t>Article 13(1), Annex I Part I(1)</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781A033" w14:textId="77777777" w:rsidR="00EB47EC" w:rsidRDefault="00000000">
            <w:r>
              <w:rPr>
                <w:rFonts w:ascii="Arial" w:eastAsia="Arial" w:hAnsi="Arial" w:cs="Arial"/>
                <w:color w:val="1A1A1A"/>
                <w:sz w:val="16"/>
                <w:szCs w:val="16"/>
              </w:rPr>
              <w:t>Fundamental design weaknesses may be embedded in products that cannot be resolved through patching</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2EBA57B" w14:textId="77777777" w:rsidR="00EB47EC" w:rsidRDefault="00000000">
            <w:r>
              <w:rPr>
                <w:rFonts w:ascii="Arial" w:eastAsia="Arial" w:hAnsi="Arial" w:cs="Arial"/>
                <w:color w:val="1A1A1A"/>
                <w:sz w:val="16"/>
                <w:szCs w:val="16"/>
              </w:rPr>
              <w:t>Establish a mandatory security architecture review for all new products and significant changes, covering trust boundaries, data flows, authentication and encryption.</w:t>
            </w:r>
          </w:p>
        </w:tc>
      </w:tr>
      <w:tr w:rsidR="00EB47EC" w14:paraId="5D5A9BB7"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F02965D" w14:textId="77777777" w:rsidR="00EB47EC" w:rsidRDefault="00000000">
            <w:r>
              <w:rPr>
                <w:rFonts w:ascii="Arial" w:eastAsia="Arial" w:hAnsi="Arial" w:cs="Arial"/>
                <w:b/>
                <w:bCs/>
                <w:color w:val="1A1A1A"/>
                <w:sz w:val="16"/>
                <w:szCs w:val="16"/>
              </w:rPr>
              <w:t>No reassessment process for substantial modifications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14F6692"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E1EC162" w14:textId="77777777" w:rsidR="00EB47EC" w:rsidRDefault="00000000">
            <w:r>
              <w:rPr>
                <w:rFonts w:ascii="Arial" w:eastAsia="Arial" w:hAnsi="Arial" w:cs="Arial"/>
                <w:color w:val="1A1A1A"/>
                <w:sz w:val="16"/>
                <w:szCs w:val="16"/>
              </w:rPr>
              <w:t>Article 13(1), Article 22</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CEDBE58" w14:textId="77777777" w:rsidR="00EB47EC" w:rsidRDefault="00000000">
            <w:r>
              <w:rPr>
                <w:rFonts w:ascii="Arial" w:eastAsia="Arial" w:hAnsi="Arial" w:cs="Arial"/>
                <w:color w:val="1A1A1A"/>
                <w:sz w:val="16"/>
                <w:szCs w:val="16"/>
              </w:rPr>
              <w:t>Unrecognised substantial modifications may invalidate conformity assessments, placing non-conforming products on the market</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7AC0578" w14:textId="77777777" w:rsidR="00EB47EC" w:rsidRDefault="00000000">
            <w:r>
              <w:rPr>
                <w:rFonts w:ascii="Arial" w:eastAsia="Arial" w:hAnsi="Arial" w:cs="Arial"/>
                <w:color w:val="1A1A1A"/>
                <w:sz w:val="16"/>
                <w:szCs w:val="16"/>
              </w:rPr>
              <w:t>Define criteria for substantial modifications per Article 22 with a change impact assessment process triggering re-evaluation, documentation updates and renewed conformity assessment.</w:t>
            </w:r>
          </w:p>
        </w:tc>
      </w:tr>
      <w:tr w:rsidR="00EB47EC" w14:paraId="1BFB2300"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814B47D" w14:textId="77777777" w:rsidR="00EB47EC" w:rsidRDefault="00000000">
            <w:r>
              <w:rPr>
                <w:rFonts w:ascii="Arial" w:eastAsia="Arial" w:hAnsi="Arial" w:cs="Arial"/>
                <w:b/>
                <w:bCs/>
                <w:color w:val="1A1A1A"/>
                <w:sz w:val="16"/>
                <w:szCs w:val="16"/>
              </w:rPr>
              <w:t>Insufficient supply chain due diligence</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D5D06A9"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4D566C7" w14:textId="77777777" w:rsidR="00EB47EC" w:rsidRDefault="00000000">
            <w:r>
              <w:rPr>
                <w:rFonts w:ascii="Arial" w:eastAsia="Arial" w:hAnsi="Arial" w:cs="Arial"/>
                <w:color w:val="1A1A1A"/>
                <w:sz w:val="16"/>
                <w:szCs w:val="16"/>
              </w:rPr>
              <w:t>Article 13(4), Annex I Part II(1)</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9D48A8E" w14:textId="77777777" w:rsidR="00EB47EC" w:rsidRDefault="00000000">
            <w:r>
              <w:rPr>
                <w:rFonts w:ascii="Arial" w:eastAsia="Arial" w:hAnsi="Arial" w:cs="Arial"/>
                <w:color w:val="1A1A1A"/>
                <w:sz w:val="16"/>
                <w:szCs w:val="16"/>
              </w:rPr>
              <w:t>Vulnerable third-party components may compromise the entire product portfolio with manufacturer liability</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9D42E25" w14:textId="77777777" w:rsidR="00EB47EC" w:rsidRDefault="00000000">
            <w:r>
              <w:rPr>
                <w:rFonts w:ascii="Arial" w:eastAsia="Arial" w:hAnsi="Arial" w:cs="Arial"/>
                <w:color w:val="1A1A1A"/>
                <w:sz w:val="16"/>
                <w:szCs w:val="16"/>
              </w:rPr>
              <w:t>Establish a component governance framework with security assessment criteria, vulnerability monitoring, licence compliance and an approved component registry.</w:t>
            </w:r>
          </w:p>
        </w:tc>
      </w:tr>
      <w:tr w:rsidR="00EB47EC" w14:paraId="7F448242"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C7A7D83" w14:textId="77777777" w:rsidR="00EB47EC" w:rsidRDefault="00000000">
            <w:r>
              <w:rPr>
                <w:rFonts w:ascii="Arial" w:eastAsia="Arial" w:hAnsi="Arial" w:cs="Arial"/>
                <w:b/>
                <w:bCs/>
                <w:color w:val="1A1A1A"/>
                <w:sz w:val="16"/>
                <w:szCs w:val="16"/>
              </w:rPr>
              <w:t>No continuous component vulnerability monitoring</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22DBB25"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F7148E4" w14:textId="77777777" w:rsidR="00EB47EC" w:rsidRDefault="00000000">
            <w:r>
              <w:rPr>
                <w:rFonts w:ascii="Arial" w:eastAsia="Arial" w:hAnsi="Arial" w:cs="Arial"/>
                <w:color w:val="1A1A1A"/>
                <w:sz w:val="16"/>
                <w:szCs w:val="16"/>
              </w:rPr>
              <w:t>Article 13(4), Annex I Part II(1)(2)</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806337C" w14:textId="77777777" w:rsidR="00EB47EC" w:rsidRDefault="00000000">
            <w:r>
              <w:rPr>
                <w:rFonts w:ascii="Arial" w:eastAsia="Arial" w:hAnsi="Arial" w:cs="Arial"/>
                <w:color w:val="1A1A1A"/>
                <w:sz w:val="16"/>
                <w:szCs w:val="16"/>
              </w:rPr>
              <w:t>Newly disclosed dependency vulnerabilities may go undetected, leaving products exposed to known exploits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0F20207" w14:textId="77777777" w:rsidR="00EB47EC" w:rsidRDefault="00000000">
            <w:r>
              <w:rPr>
                <w:rFonts w:ascii="Arial" w:eastAsia="Arial" w:hAnsi="Arial" w:cs="Arial"/>
                <w:color w:val="1A1A1A"/>
                <w:sz w:val="16"/>
                <w:szCs w:val="16"/>
              </w:rPr>
              <w:t>Deploy continuous vulnerability monitoring integrated with SBOM data. Set alerting thresholds by severity and define response procedures.</w:t>
            </w:r>
          </w:p>
        </w:tc>
      </w:tr>
      <w:tr w:rsidR="00EB47EC" w14:paraId="3E9B9028"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2461544" w14:textId="77777777" w:rsidR="00EB47EC" w:rsidRDefault="00000000">
            <w:r>
              <w:rPr>
                <w:rFonts w:ascii="Arial" w:eastAsia="Arial" w:hAnsi="Arial" w:cs="Arial"/>
                <w:b/>
                <w:bCs/>
                <w:color w:val="1A1A1A"/>
                <w:sz w:val="16"/>
                <w:szCs w:val="16"/>
              </w:rPr>
              <w:t>No technical documentation process covering all Annex VII requirements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5AA8BC6"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AC0FC02" w14:textId="77777777" w:rsidR="00EB47EC" w:rsidRDefault="00000000">
            <w:r>
              <w:rPr>
                <w:rFonts w:ascii="Arial" w:eastAsia="Arial" w:hAnsi="Arial" w:cs="Arial"/>
                <w:color w:val="1A1A1A"/>
                <w:sz w:val="16"/>
                <w:szCs w:val="16"/>
              </w:rPr>
              <w:t>Article 13(5), Article 31, Annex VII</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8909160" w14:textId="77777777" w:rsidR="00EB47EC" w:rsidRDefault="00000000">
            <w:r>
              <w:rPr>
                <w:rFonts w:ascii="Arial" w:eastAsia="Arial" w:hAnsi="Arial" w:cs="Arial"/>
                <w:color w:val="1A1A1A"/>
                <w:sz w:val="16"/>
                <w:szCs w:val="16"/>
              </w:rPr>
              <w:t>Inability to demonstrate conformity through complete documentation risks EU market access for affected products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D25CFA3" w14:textId="77777777" w:rsidR="00EB47EC" w:rsidRDefault="00000000">
            <w:r>
              <w:rPr>
                <w:rFonts w:ascii="Arial" w:eastAsia="Arial" w:hAnsi="Arial" w:cs="Arial"/>
                <w:color w:val="1A1A1A"/>
                <w:sz w:val="16"/>
                <w:szCs w:val="16"/>
              </w:rPr>
              <w:t>Develop Annex VII documentation templates covering product description, architecture, risk assessment, test reports and vulnerability handling including SBOM.</w:t>
            </w:r>
          </w:p>
        </w:tc>
      </w:tr>
      <w:tr w:rsidR="00EB47EC" w14:paraId="025CC12F"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0F6369B" w14:textId="77777777" w:rsidR="00EB47EC" w:rsidRDefault="00000000">
            <w:r>
              <w:rPr>
                <w:rFonts w:ascii="Arial" w:eastAsia="Arial" w:hAnsi="Arial" w:cs="Arial"/>
                <w:b/>
                <w:bCs/>
                <w:color w:val="1A1A1A"/>
                <w:sz w:val="16"/>
                <w:szCs w:val="16"/>
              </w:rPr>
              <w:t>No product cybersecurity risk assessment methodology</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099BD9D"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50BF9B1" w14:textId="77777777" w:rsidR="00EB47EC" w:rsidRDefault="00000000">
            <w:r>
              <w:rPr>
                <w:rFonts w:ascii="Arial" w:eastAsia="Arial" w:hAnsi="Arial" w:cs="Arial"/>
                <w:color w:val="1A1A1A"/>
                <w:sz w:val="16"/>
                <w:szCs w:val="16"/>
              </w:rPr>
              <w:t>Article 13(2)(3), Annex VII</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776C3FC" w14:textId="77777777" w:rsidR="00EB47EC" w:rsidRDefault="00000000">
            <w:r>
              <w:rPr>
                <w:rFonts w:ascii="Arial" w:eastAsia="Arial" w:hAnsi="Arial" w:cs="Arial"/>
                <w:color w:val="1A1A1A"/>
                <w:sz w:val="16"/>
                <w:szCs w:val="16"/>
              </w:rPr>
              <w:t>Incomplete or inconsistent risk assessments may result in technical documentation that does not meet CRA requirements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249555D" w14:textId="77777777" w:rsidR="00EB47EC" w:rsidRDefault="00000000">
            <w:r>
              <w:rPr>
                <w:rFonts w:ascii="Arial" w:eastAsia="Arial" w:hAnsi="Arial" w:cs="Arial"/>
                <w:color w:val="1A1A1A"/>
                <w:sz w:val="16"/>
                <w:szCs w:val="16"/>
              </w:rPr>
              <w:t>Develop a standardised risk assessment methodology covering intended use, foreseeable misuse, threat landscape and vulnerability impact with lifecycle review requirements.</w:t>
            </w:r>
          </w:p>
        </w:tc>
      </w:tr>
      <w:tr w:rsidR="00EB47EC" w14:paraId="028BCE9E"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B6BC6DF" w14:textId="77777777" w:rsidR="00EB47EC" w:rsidRDefault="00000000">
            <w:r>
              <w:rPr>
                <w:rFonts w:ascii="Arial" w:eastAsia="Arial" w:hAnsi="Arial" w:cs="Arial"/>
                <w:b/>
                <w:bCs/>
                <w:color w:val="1A1A1A"/>
                <w:sz w:val="16"/>
                <w:szCs w:val="16"/>
              </w:rPr>
              <w:t>No documentation retention procedures for CRA compliance</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0B92598"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9E3F4C3" w14:textId="77777777" w:rsidR="00EB47EC" w:rsidRDefault="00000000">
            <w:r>
              <w:rPr>
                <w:rFonts w:ascii="Arial" w:eastAsia="Arial" w:hAnsi="Arial" w:cs="Arial"/>
                <w:color w:val="1A1A1A"/>
                <w:sz w:val="16"/>
                <w:szCs w:val="16"/>
              </w:rPr>
              <w:t>Article 13(13)</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931ADB0" w14:textId="77777777" w:rsidR="00EB47EC" w:rsidRDefault="00000000">
            <w:r>
              <w:rPr>
                <w:rFonts w:ascii="Arial" w:eastAsia="Arial" w:hAnsi="Arial" w:cs="Arial"/>
                <w:color w:val="1A1A1A"/>
                <w:sz w:val="16"/>
                <w:szCs w:val="16"/>
              </w:rPr>
              <w:t>Inability to produce documentation on authority request may result in product withdrawal from the market</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1E11268" w14:textId="77777777" w:rsidR="00EB47EC" w:rsidRDefault="00000000">
            <w:r>
              <w:rPr>
                <w:rFonts w:ascii="Arial" w:eastAsia="Arial" w:hAnsi="Arial" w:cs="Arial"/>
                <w:color w:val="1A1A1A"/>
                <w:sz w:val="16"/>
                <w:szCs w:val="16"/>
              </w:rPr>
              <w:t>Implement a document management system with 10-year retention for technical documentation, Declarations of Conformity and user information, including access controls and backups.</w:t>
            </w:r>
          </w:p>
        </w:tc>
      </w:tr>
      <w:tr w:rsidR="00EB47EC" w14:paraId="05E7EE5E"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88224AB" w14:textId="77777777" w:rsidR="00EB47EC" w:rsidRDefault="00000000">
            <w:r>
              <w:rPr>
                <w:rFonts w:ascii="Arial" w:eastAsia="Arial" w:hAnsi="Arial" w:cs="Arial"/>
                <w:b/>
                <w:bCs/>
                <w:color w:val="1A1A1A"/>
                <w:sz w:val="16"/>
                <w:szCs w:val="16"/>
              </w:rPr>
              <w:lastRenderedPageBreak/>
              <w:t>No governance framework for substantial modification identification and CRA re-assessment triggers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3C5807A"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ADE9653" w14:textId="77777777" w:rsidR="00EB47EC" w:rsidRDefault="00000000">
            <w:r>
              <w:rPr>
                <w:rFonts w:ascii="Arial" w:eastAsia="Arial" w:hAnsi="Arial" w:cs="Arial"/>
                <w:color w:val="1A1A1A"/>
                <w:sz w:val="16"/>
                <w:szCs w:val="16"/>
              </w:rPr>
              <w:t>Article 3(31), Article 22, Annex VII</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839A501" w14:textId="77777777" w:rsidR="00EB47EC" w:rsidRDefault="00000000">
            <w:r>
              <w:rPr>
                <w:rFonts w:ascii="Arial" w:eastAsia="Arial" w:hAnsi="Arial" w:cs="Arial"/>
                <w:color w:val="1A1A1A"/>
                <w:sz w:val="16"/>
                <w:szCs w:val="16"/>
              </w:rPr>
              <w:t>Non-conforming products may remain on the market with invalid conformity declarations after unrecognised changes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67BC956" w14:textId="77777777" w:rsidR="00EB47EC" w:rsidRDefault="00000000">
            <w:r>
              <w:rPr>
                <w:rFonts w:ascii="Arial" w:eastAsia="Arial" w:hAnsi="Arial" w:cs="Arial"/>
                <w:color w:val="1A1A1A"/>
                <w:sz w:val="16"/>
                <w:szCs w:val="16"/>
              </w:rPr>
              <w:t>Establish governance for classifying substantial modifications per Articles 3(31) and 22. Trigger re-assessment, documentation updates and renewed conformity assessment where applicable.</w:t>
            </w:r>
          </w:p>
        </w:tc>
      </w:tr>
      <w:tr w:rsidR="00EB47EC" w14:paraId="42F6A795"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DB044DF" w14:textId="77777777" w:rsidR="00EB47EC" w:rsidRDefault="00000000">
            <w:r>
              <w:rPr>
                <w:rFonts w:ascii="Arial" w:eastAsia="Arial" w:hAnsi="Arial" w:cs="Arial"/>
                <w:b/>
                <w:bCs/>
                <w:color w:val="1A1A1A"/>
                <w:sz w:val="16"/>
                <w:szCs w:val="16"/>
              </w:rPr>
              <w:t>No user information standards aligned to Annex II</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E4EE5BE"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3D095D9" w14:textId="77777777" w:rsidR="00EB47EC" w:rsidRDefault="00000000">
            <w:r>
              <w:rPr>
                <w:rFonts w:ascii="Arial" w:eastAsia="Arial" w:hAnsi="Arial" w:cs="Arial"/>
                <w:color w:val="1A1A1A"/>
                <w:sz w:val="16"/>
                <w:szCs w:val="16"/>
              </w:rPr>
              <w:t>Annex II, Article 13(18)</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41167EB" w14:textId="77777777" w:rsidR="00EB47EC" w:rsidRDefault="00000000">
            <w:r>
              <w:rPr>
                <w:rFonts w:ascii="Arial" w:eastAsia="Arial" w:hAnsi="Arial" w:cs="Arial"/>
                <w:color w:val="1A1A1A"/>
                <w:sz w:val="16"/>
                <w:szCs w:val="16"/>
              </w:rPr>
              <w:t>User documentation may omit required CRA disclosures, creating compliance gaps across the portfolio</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ACC8426" w14:textId="77777777" w:rsidR="00EB47EC" w:rsidRDefault="00000000">
            <w:r>
              <w:rPr>
                <w:rFonts w:ascii="Arial" w:eastAsia="Arial" w:hAnsi="Arial" w:cs="Arial"/>
                <w:color w:val="1A1A1A"/>
                <w:sz w:val="16"/>
                <w:szCs w:val="16"/>
              </w:rPr>
              <w:t>Create Annex II documentation templates covering intended purpose, secure installation, support period, update procedures, misuse risks, vulnerability contact and SBOM availability.</w:t>
            </w:r>
          </w:p>
        </w:tc>
      </w:tr>
      <w:tr w:rsidR="00EB47EC" w14:paraId="7ACF0B92"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B87C9B0" w14:textId="77777777" w:rsidR="00EB47EC" w:rsidRDefault="00000000">
            <w:r>
              <w:rPr>
                <w:rFonts w:ascii="Arial" w:eastAsia="Arial" w:hAnsi="Arial" w:cs="Arial"/>
                <w:b/>
                <w:bCs/>
                <w:color w:val="1A1A1A"/>
                <w:sz w:val="16"/>
                <w:szCs w:val="16"/>
              </w:rPr>
              <w:t>No support period policy</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3510E25"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7989DE7" w14:textId="77777777" w:rsidR="00EB47EC" w:rsidRDefault="00000000">
            <w:r>
              <w:rPr>
                <w:rFonts w:ascii="Arial" w:eastAsia="Arial" w:hAnsi="Arial" w:cs="Arial"/>
                <w:color w:val="1A1A1A"/>
                <w:sz w:val="16"/>
                <w:szCs w:val="16"/>
              </w:rPr>
              <w:t>Article 13(6)(7)(8)</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4EE4F29" w14:textId="77777777" w:rsidR="00EB47EC" w:rsidRDefault="00000000">
            <w:r>
              <w:rPr>
                <w:rFonts w:ascii="Arial" w:eastAsia="Arial" w:hAnsi="Arial" w:cs="Arial"/>
                <w:color w:val="1A1A1A"/>
                <w:sz w:val="16"/>
                <w:szCs w:val="16"/>
              </w:rPr>
              <w:t>Support periods may fall below the CRA five-year minimum, creating user uncertainty and non-compliance</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55F79C3" w14:textId="77777777" w:rsidR="00EB47EC" w:rsidRDefault="00000000">
            <w:r>
              <w:rPr>
                <w:rFonts w:ascii="Arial" w:eastAsia="Arial" w:hAnsi="Arial" w:cs="Arial"/>
                <w:color w:val="1A1A1A"/>
                <w:sz w:val="16"/>
                <w:szCs w:val="16"/>
              </w:rPr>
              <w:t>Define support periods for each product (minimum 5 years or expected lifetime). Communicate clearly before purchase and establish end-of-support transition procedures.</w:t>
            </w:r>
          </w:p>
        </w:tc>
      </w:tr>
      <w:tr w:rsidR="00EB47EC" w14:paraId="0931807A"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3FBE928" w14:textId="77777777" w:rsidR="00EB47EC" w:rsidRDefault="00000000">
            <w:r>
              <w:rPr>
                <w:rFonts w:ascii="Arial" w:eastAsia="Arial" w:hAnsi="Arial" w:cs="Arial"/>
                <w:b/>
                <w:bCs/>
                <w:color w:val="1A1A1A"/>
                <w:sz w:val="16"/>
                <w:szCs w:val="16"/>
              </w:rPr>
              <w:t>No product identification and labelling standards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22C8CCF"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2229C9F" w14:textId="77777777" w:rsidR="00EB47EC" w:rsidRDefault="00000000">
            <w:r>
              <w:rPr>
                <w:rFonts w:ascii="Arial" w:eastAsia="Arial" w:hAnsi="Arial" w:cs="Arial"/>
                <w:color w:val="1A1A1A"/>
                <w:sz w:val="16"/>
                <w:szCs w:val="16"/>
              </w:rPr>
              <w:t>Article 13(15)(16)</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4DF34D0" w14:textId="77777777" w:rsidR="00EB47EC" w:rsidRDefault="00000000">
            <w:r>
              <w:rPr>
                <w:rFonts w:ascii="Arial" w:eastAsia="Arial" w:hAnsi="Arial" w:cs="Arial"/>
                <w:color w:val="1A1A1A"/>
                <w:sz w:val="16"/>
                <w:szCs w:val="16"/>
              </w:rPr>
              <w:t>Untraceable products without proper identification markings fail basic CRA market placement requirements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1F9DA1E" w14:textId="77777777" w:rsidR="00EB47EC" w:rsidRDefault="00000000">
            <w:r>
              <w:rPr>
                <w:rFonts w:ascii="Arial" w:eastAsia="Arial" w:hAnsi="Arial" w:cs="Arial"/>
                <w:color w:val="1A1A1A"/>
                <w:sz w:val="16"/>
                <w:szCs w:val="16"/>
              </w:rPr>
              <w:t>Define product identification standards including type, batch/serial numbers and manufacturer contact details. Integrate labelling verification into pre-release checks.</w:t>
            </w:r>
          </w:p>
        </w:tc>
      </w:tr>
      <w:tr w:rsidR="00EB47EC" w14:paraId="24794F9E"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B1A780D" w14:textId="77777777" w:rsidR="00EB47EC" w:rsidRDefault="00000000">
            <w:r>
              <w:rPr>
                <w:rFonts w:ascii="Arial" w:eastAsia="Arial" w:hAnsi="Arial" w:cs="Arial"/>
                <w:b/>
                <w:bCs/>
                <w:color w:val="1A1A1A"/>
                <w:sz w:val="16"/>
                <w:szCs w:val="16"/>
              </w:rPr>
              <w:t>No foreseeable misuse risk disclosure process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17C593F"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A78AD84" w14:textId="77777777" w:rsidR="00EB47EC" w:rsidRDefault="00000000">
            <w:r>
              <w:rPr>
                <w:rFonts w:ascii="Arial" w:eastAsia="Arial" w:hAnsi="Arial" w:cs="Arial"/>
                <w:color w:val="1A1A1A"/>
                <w:sz w:val="16"/>
                <w:szCs w:val="16"/>
              </w:rPr>
              <w:t>Annex II(5), Article 13(18)</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2A55C72" w14:textId="77777777" w:rsidR="00EB47EC" w:rsidRDefault="00000000">
            <w:r>
              <w:rPr>
                <w:rFonts w:ascii="Arial" w:eastAsia="Arial" w:hAnsi="Arial" w:cs="Arial"/>
                <w:color w:val="1A1A1A"/>
                <w:sz w:val="16"/>
                <w:szCs w:val="16"/>
              </w:rPr>
              <w:t>Users may unknowingly misuse products in ways that create security exposure, breaching Annex II point 5</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CD863CB" w14:textId="77777777" w:rsidR="00EB47EC" w:rsidRDefault="00000000">
            <w:r>
              <w:rPr>
                <w:rFonts w:ascii="Arial" w:eastAsia="Arial" w:hAnsi="Arial" w:cs="Arial"/>
                <w:color w:val="1A1A1A"/>
                <w:sz w:val="16"/>
                <w:szCs w:val="16"/>
              </w:rPr>
              <w:t>Integrate foreseeable misuse scenarios into product risk assessments. Document in user materials per Annex II and review periodically.</w:t>
            </w:r>
          </w:p>
        </w:tc>
      </w:tr>
      <w:tr w:rsidR="00EB47EC" w14:paraId="5D6885A0"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CF03750" w14:textId="77777777" w:rsidR="00EB47EC" w:rsidRDefault="00000000">
            <w:r>
              <w:rPr>
                <w:rFonts w:ascii="Arial" w:eastAsia="Arial" w:hAnsi="Arial" w:cs="Arial"/>
                <w:b/>
                <w:bCs/>
                <w:color w:val="1A1A1A"/>
                <w:sz w:val="16"/>
                <w:szCs w:val="16"/>
              </w:rPr>
              <w:t>No published vulnerability reporting contact</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686ECE1"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13A2E09" w14:textId="77777777" w:rsidR="00EB47EC" w:rsidRDefault="00000000">
            <w:r>
              <w:rPr>
                <w:rFonts w:ascii="Arial" w:eastAsia="Arial" w:hAnsi="Arial" w:cs="Arial"/>
                <w:color w:val="1A1A1A"/>
                <w:sz w:val="16"/>
                <w:szCs w:val="16"/>
              </w:rPr>
              <w:t>Annex II(7), Annex I Part II(5)</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004CEE3" w14:textId="77777777" w:rsidR="00EB47EC" w:rsidRDefault="00000000">
            <w:r>
              <w:rPr>
                <w:rFonts w:ascii="Arial" w:eastAsia="Arial" w:hAnsi="Arial" w:cs="Arial"/>
                <w:color w:val="1A1A1A"/>
                <w:sz w:val="16"/>
                <w:szCs w:val="16"/>
              </w:rPr>
              <w:t>Users and researchers cannot report vulnerabilities, breaching Annex II point 7 requirements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381961C" w14:textId="77777777" w:rsidR="00EB47EC" w:rsidRDefault="00000000">
            <w:r>
              <w:rPr>
                <w:rFonts w:ascii="Arial" w:eastAsia="Arial" w:hAnsi="Arial" w:cs="Arial"/>
                <w:color w:val="1A1A1A"/>
                <w:sz w:val="16"/>
                <w:szCs w:val="16"/>
              </w:rPr>
              <w:t>Publish a single vulnerability reporting contact (e.g. security.txt) referenced in product documentation, packaging and the corporate website.</w:t>
            </w:r>
          </w:p>
        </w:tc>
      </w:tr>
      <w:tr w:rsidR="00EB47EC" w14:paraId="56B20AD3"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DDB3E5E" w14:textId="77777777" w:rsidR="00EB47EC" w:rsidRDefault="00000000">
            <w:r>
              <w:rPr>
                <w:rFonts w:ascii="Arial" w:eastAsia="Arial" w:hAnsi="Arial" w:cs="Arial"/>
                <w:b/>
                <w:bCs/>
                <w:color w:val="1A1A1A"/>
                <w:sz w:val="16"/>
                <w:szCs w:val="16"/>
              </w:rPr>
              <w:t>No standards for secure configuration instructions accompanying products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EF45D90" w14:textId="77777777" w:rsidR="00EB47EC" w:rsidRDefault="00000000">
            <w:r>
              <w:rPr>
                <w:rFonts w:ascii="Arial" w:eastAsia="Arial" w:hAnsi="Arial" w:cs="Arial"/>
                <w:color w:val="1A1A1A"/>
                <w:sz w:val="16"/>
                <w:szCs w:val="16"/>
              </w:rPr>
              <w:t>Not Compliant</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FB626BD" w14:textId="77777777" w:rsidR="00EB47EC" w:rsidRDefault="00000000">
            <w:r>
              <w:rPr>
                <w:rFonts w:ascii="Arial" w:eastAsia="Arial" w:hAnsi="Arial" w:cs="Arial"/>
                <w:color w:val="1A1A1A"/>
                <w:sz w:val="16"/>
                <w:szCs w:val="16"/>
              </w:rPr>
              <w:t>Annex II(2), Article 13(18)</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9F9212A" w14:textId="77777777" w:rsidR="00EB47EC" w:rsidRDefault="00000000">
            <w:r>
              <w:rPr>
                <w:rFonts w:ascii="Arial" w:eastAsia="Arial" w:hAnsi="Arial" w:cs="Arial"/>
                <w:color w:val="1A1A1A"/>
                <w:sz w:val="16"/>
                <w:szCs w:val="16"/>
              </w:rPr>
              <w:t>Users may deploy products in insecure configurations, undermining built-in security and increasing attack exposure</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57A0F84" w14:textId="77777777" w:rsidR="00EB47EC" w:rsidRDefault="00000000">
            <w:r>
              <w:rPr>
                <w:rFonts w:ascii="Arial" w:eastAsia="Arial" w:hAnsi="Arial" w:cs="Arial"/>
                <w:color w:val="1A1A1A"/>
                <w:sz w:val="16"/>
                <w:szCs w:val="16"/>
              </w:rPr>
              <w:t>Develop secure configuration instruction templates covering installation, recommended settings and maintenance in clear, accessible language per Annex II.</w:t>
            </w:r>
          </w:p>
        </w:tc>
      </w:tr>
      <w:tr w:rsidR="00EB47EC" w14:paraId="73CB2B86"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756329F" w14:textId="77777777" w:rsidR="00EB47EC" w:rsidRDefault="00000000">
            <w:r>
              <w:rPr>
                <w:rFonts w:ascii="Arial" w:eastAsia="Arial" w:hAnsi="Arial" w:cs="Arial"/>
                <w:b/>
                <w:bCs/>
                <w:color w:val="1A1A1A"/>
                <w:sz w:val="16"/>
                <w:szCs w:val="16"/>
              </w:rPr>
              <w:t>No SBOM disclosure process for users and authorities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0E0BBCE"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891909A" w14:textId="77777777" w:rsidR="00EB47EC" w:rsidRDefault="00000000">
            <w:r>
              <w:rPr>
                <w:rFonts w:ascii="Arial" w:eastAsia="Arial" w:hAnsi="Arial" w:cs="Arial"/>
                <w:color w:val="1A1A1A"/>
                <w:sz w:val="16"/>
                <w:szCs w:val="16"/>
              </w:rPr>
              <w:t>Annex II(9), Annex VII(e), Article 13(18)</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365115B" w14:textId="77777777" w:rsidR="00EB47EC" w:rsidRDefault="00000000">
            <w:r>
              <w:rPr>
                <w:rFonts w:ascii="Arial" w:eastAsia="Arial" w:hAnsi="Arial" w:cs="Arial"/>
                <w:color w:val="1A1A1A"/>
                <w:sz w:val="16"/>
                <w:szCs w:val="16"/>
              </w:rPr>
              <w:t>Unavailable SBOM information breaches CRA user information obligations and may hinder authority investigations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7578661" w14:textId="77777777" w:rsidR="00EB47EC" w:rsidRDefault="00000000">
            <w:r>
              <w:rPr>
                <w:rFonts w:ascii="Arial" w:eastAsia="Arial" w:hAnsi="Arial" w:cs="Arial"/>
                <w:color w:val="1A1A1A"/>
                <w:sz w:val="16"/>
                <w:szCs w:val="16"/>
              </w:rPr>
              <w:t>Develop SBOM disclosure procedures with a request mechanism for users and authorities. Maintain SBOMs in CycloneDX or SPDX format, updated per release.</w:t>
            </w:r>
          </w:p>
        </w:tc>
      </w:tr>
      <w:tr w:rsidR="00EB47EC" w14:paraId="0629C118"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451B049" w14:textId="77777777" w:rsidR="00EB47EC" w:rsidRDefault="00000000">
            <w:r>
              <w:rPr>
                <w:rFonts w:ascii="Arial" w:eastAsia="Arial" w:hAnsi="Arial" w:cs="Arial"/>
                <w:b/>
                <w:bCs/>
                <w:color w:val="1A1A1A"/>
                <w:sz w:val="16"/>
                <w:szCs w:val="16"/>
              </w:rPr>
              <w:t>Inadequate security update capability</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CE4BD0E"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E35A870" w14:textId="77777777" w:rsidR="00EB47EC" w:rsidRDefault="00000000">
            <w:r>
              <w:rPr>
                <w:rFonts w:ascii="Arial" w:eastAsia="Arial" w:hAnsi="Arial" w:cs="Arial"/>
                <w:color w:val="1A1A1A"/>
                <w:sz w:val="16"/>
                <w:szCs w:val="16"/>
              </w:rPr>
              <w:t>Annex I Part I(2)(c), Annex I Part II(2)(7)(8)</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B8BAF2B" w14:textId="77777777" w:rsidR="00EB47EC" w:rsidRDefault="00000000">
            <w:r>
              <w:rPr>
                <w:rFonts w:ascii="Arial" w:eastAsia="Arial" w:hAnsi="Arial" w:cs="Arial"/>
                <w:color w:val="1A1A1A"/>
                <w:sz w:val="16"/>
                <w:szCs w:val="16"/>
              </w:rPr>
              <w:t>Users remain exposed to known vulnerabilities for extended periods, breaching CRA update delivery requirements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8CC06B3" w14:textId="77777777" w:rsidR="00EB47EC" w:rsidRDefault="00000000">
            <w:r>
              <w:rPr>
                <w:rFonts w:ascii="Arial" w:eastAsia="Arial" w:hAnsi="Arial" w:cs="Arial"/>
                <w:color w:val="1A1A1A"/>
                <w:sz w:val="16"/>
                <w:szCs w:val="16"/>
              </w:rPr>
              <w:t>Establish a patch development and distribution capability with severity-based SLAs and automatic security updates enabled by default with opt-out options.</w:t>
            </w:r>
          </w:p>
        </w:tc>
      </w:tr>
      <w:tr w:rsidR="00EB47EC" w14:paraId="013192CC"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AE174D0" w14:textId="77777777" w:rsidR="00EB47EC" w:rsidRDefault="00000000">
            <w:r>
              <w:rPr>
                <w:rFonts w:ascii="Arial" w:eastAsia="Arial" w:hAnsi="Arial" w:cs="Arial"/>
                <w:b/>
                <w:bCs/>
                <w:color w:val="1A1A1A"/>
                <w:sz w:val="16"/>
                <w:szCs w:val="16"/>
              </w:rPr>
              <w:t>No coordinated disclosure policy or component vulnerability sharing</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64B00CB"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66A2C30" w14:textId="77777777" w:rsidR="00EB47EC" w:rsidRDefault="00000000">
            <w:r>
              <w:rPr>
                <w:rFonts w:ascii="Arial" w:eastAsia="Arial" w:hAnsi="Arial" w:cs="Arial"/>
                <w:color w:val="1A1A1A"/>
                <w:sz w:val="16"/>
                <w:szCs w:val="16"/>
              </w:rPr>
              <w:t>Annex I Part II(5)(6)</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22DE902" w14:textId="77777777" w:rsidR="00EB47EC" w:rsidRDefault="00000000">
            <w:r>
              <w:rPr>
                <w:rFonts w:ascii="Arial" w:eastAsia="Arial" w:hAnsi="Arial" w:cs="Arial"/>
                <w:color w:val="1A1A1A"/>
                <w:sz w:val="16"/>
                <w:szCs w:val="16"/>
              </w:rPr>
              <w:t>Vulnerabilities go unreported by researchers and third-party risks propagate undetected across the supply chain</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650B4B7" w14:textId="77777777" w:rsidR="00EB47EC" w:rsidRDefault="00000000">
            <w:r>
              <w:rPr>
                <w:rFonts w:ascii="Arial" w:eastAsia="Arial" w:hAnsi="Arial" w:cs="Arial"/>
                <w:color w:val="1A1A1A"/>
                <w:sz w:val="16"/>
                <w:szCs w:val="16"/>
              </w:rPr>
              <w:t>Publish a coordinated vulnerability disclosure policy with a dedicated security contact (e.g. security.txt), defined response timelines and procedures for upstream/downstream information sharing.</w:t>
            </w:r>
          </w:p>
        </w:tc>
      </w:tr>
      <w:tr w:rsidR="00EB47EC" w14:paraId="79D188C6"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5D94611" w14:textId="77777777" w:rsidR="00EB47EC" w:rsidRDefault="00000000">
            <w:r>
              <w:rPr>
                <w:rFonts w:ascii="Arial" w:eastAsia="Arial" w:hAnsi="Arial" w:cs="Arial"/>
                <w:b/>
                <w:bCs/>
                <w:color w:val="1A1A1A"/>
                <w:sz w:val="16"/>
                <w:szCs w:val="16"/>
              </w:rPr>
              <w:t>No post-patch vulnerability disclosure process</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B61EF97" w14:textId="77777777" w:rsidR="00EB47EC" w:rsidRDefault="00000000">
            <w:r>
              <w:rPr>
                <w:rFonts w:ascii="Arial" w:eastAsia="Arial" w:hAnsi="Arial" w:cs="Arial"/>
                <w:color w:val="1A1A1A"/>
                <w:sz w:val="16"/>
                <w:szCs w:val="16"/>
              </w:rPr>
              <w:t>In Progress</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7314AFF" w14:textId="77777777" w:rsidR="00EB47EC" w:rsidRDefault="00000000">
            <w:r>
              <w:rPr>
                <w:rFonts w:ascii="Arial" w:eastAsia="Arial" w:hAnsi="Arial" w:cs="Arial"/>
                <w:color w:val="1A1A1A"/>
                <w:sz w:val="16"/>
                <w:szCs w:val="16"/>
              </w:rPr>
              <w:t>Annex I Part II(4)</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916FBFF" w14:textId="77777777" w:rsidR="00EB47EC" w:rsidRDefault="00000000">
            <w:r>
              <w:rPr>
                <w:rFonts w:ascii="Arial" w:eastAsia="Arial" w:hAnsi="Arial" w:cs="Arial"/>
                <w:color w:val="1A1A1A"/>
                <w:sz w:val="16"/>
                <w:szCs w:val="16"/>
              </w:rPr>
              <w:t>Users cannot assess update urgency and researchers cannot verify fixes, undermining CRA transparency obligations</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1CE1392" w14:textId="77777777" w:rsidR="00EB47EC" w:rsidRDefault="00000000">
            <w:r>
              <w:rPr>
                <w:rFonts w:ascii="Arial" w:eastAsia="Arial" w:hAnsi="Arial" w:cs="Arial"/>
                <w:color w:val="1A1A1A"/>
                <w:sz w:val="16"/>
                <w:szCs w:val="16"/>
              </w:rPr>
              <w:t>Establish a process for publishing security advisories with each update, including affected products, CVSS severity and remediation guidance.</w:t>
            </w:r>
          </w:p>
        </w:tc>
      </w:tr>
      <w:tr w:rsidR="00EB47EC" w14:paraId="447D5B1F" w14:textId="77777777">
        <w:trPr>
          <w:cantSplit/>
        </w:trPr>
        <w:tc>
          <w:tcPr>
            <w:tcW w:w="2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67911BB" w14:textId="77777777" w:rsidR="00EB47EC" w:rsidRDefault="00000000">
            <w:r>
              <w:rPr>
                <w:rFonts w:ascii="Arial" w:eastAsia="Arial" w:hAnsi="Arial" w:cs="Arial"/>
                <w:b/>
                <w:bCs/>
                <w:color w:val="1A1A1A"/>
                <w:sz w:val="16"/>
                <w:szCs w:val="16"/>
              </w:rPr>
              <w:lastRenderedPageBreak/>
              <w:t>No ongoing security testing programme</w:t>
            </w:r>
          </w:p>
        </w:tc>
        <w:tc>
          <w:tcPr>
            <w:tcW w:w="11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DAA323D" w14:textId="77777777" w:rsidR="00EB47EC" w:rsidRDefault="00000000">
            <w:r>
              <w:rPr>
                <w:rFonts w:ascii="Arial" w:eastAsia="Arial" w:hAnsi="Arial" w:cs="Arial"/>
                <w:color w:val="1A1A1A"/>
                <w:sz w:val="16"/>
                <w:szCs w:val="16"/>
              </w:rPr>
              <w:t>Partial</w:t>
            </w:r>
          </w:p>
        </w:tc>
        <w:tc>
          <w:tcPr>
            <w:tcW w:w="12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5561904" w14:textId="77777777" w:rsidR="00EB47EC" w:rsidRDefault="00000000">
            <w:r>
              <w:rPr>
                <w:rFonts w:ascii="Arial" w:eastAsia="Arial" w:hAnsi="Arial" w:cs="Arial"/>
                <w:color w:val="1A1A1A"/>
                <w:sz w:val="16"/>
                <w:szCs w:val="16"/>
              </w:rPr>
              <w:t>Annex I Part II(3)</w:t>
            </w:r>
          </w:p>
        </w:tc>
        <w:tc>
          <w:tcPr>
            <w:tcW w:w="2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30A7389" w14:textId="77777777" w:rsidR="00EB47EC" w:rsidRDefault="00000000">
            <w:r>
              <w:rPr>
                <w:rFonts w:ascii="Arial" w:eastAsia="Arial" w:hAnsi="Arial" w:cs="Arial"/>
                <w:color w:val="1A1A1A"/>
                <w:sz w:val="16"/>
                <w:szCs w:val="16"/>
              </w:rPr>
              <w:t>Post-release vulnerabilities from environment changes or dependency updates may go undetected across the portfolio</w:t>
            </w:r>
          </w:p>
        </w:tc>
        <w:tc>
          <w:tcPr>
            <w:tcW w:w="33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2FF3ABD" w14:textId="77777777" w:rsidR="00EB47EC" w:rsidRDefault="00000000">
            <w:r>
              <w:rPr>
                <w:rFonts w:ascii="Arial" w:eastAsia="Arial" w:hAnsi="Arial" w:cs="Arial"/>
                <w:color w:val="1A1A1A"/>
                <w:sz w:val="16"/>
                <w:szCs w:val="16"/>
              </w:rPr>
              <w:t>Establish an ongoing security testing programme including penetration testing, vulnerability scanning and regression testing, with frequency set by product risk.</w:t>
            </w:r>
          </w:p>
        </w:tc>
      </w:tr>
    </w:tbl>
    <w:p w14:paraId="181D94D9" w14:textId="77777777" w:rsidR="00EB47EC" w:rsidRDefault="00000000">
      <w:r>
        <w:br w:type="page"/>
      </w:r>
    </w:p>
    <w:p w14:paraId="41E4017A" w14:textId="77777777" w:rsidR="00EB47EC" w:rsidRDefault="00000000">
      <w:pPr>
        <w:spacing w:after="200"/>
      </w:pPr>
      <w:r>
        <w:rPr>
          <w:rFonts w:ascii="Arial" w:eastAsia="Arial" w:hAnsi="Arial" w:cs="Arial"/>
          <w:b/>
          <w:bCs/>
          <w:color w:val="1A1A1A"/>
          <w:sz w:val="32"/>
          <w:szCs w:val="32"/>
        </w:rPr>
        <w:lastRenderedPageBreak/>
        <w:t>Compliance Gaps by Risk Level</w:t>
      </w:r>
    </w:p>
    <w:p w14:paraId="63198B72" w14:textId="77777777" w:rsidR="00EB47EC" w:rsidRDefault="00000000">
      <w:pPr>
        <w:spacing w:after="300"/>
      </w:pPr>
      <w:r>
        <w:rPr>
          <w:rFonts w:ascii="Arial" w:eastAsia="Arial" w:hAnsi="Arial" w:cs="Arial"/>
          <w:color w:val="666666"/>
        </w:rPr>
        <w:t>All gaps sorted by inherent risk, with highest risk items listed first. Risk level is derived from domain criticality and current compliance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8"/>
        <w:gridCol w:w="2745"/>
        <w:gridCol w:w="1403"/>
      </w:tblGrid>
      <w:tr w:rsidR="00EB47EC" w14:paraId="5AF896AF" w14:textId="77777777">
        <w:trPr>
          <w:tblHeader/>
        </w:trPr>
        <w:tc>
          <w:tcPr>
            <w:tcW w:w="55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6607845B" w14:textId="77777777" w:rsidR="00EB47EC" w:rsidRDefault="00000000">
            <w:r>
              <w:rPr>
                <w:rFonts w:ascii="Arial" w:eastAsia="Arial" w:hAnsi="Arial" w:cs="Arial"/>
                <w:b/>
                <w:bCs/>
                <w:color w:val="1A1A1A"/>
                <w:sz w:val="18"/>
                <w:szCs w:val="18"/>
              </w:rPr>
              <w:t>Risk Description</w:t>
            </w:r>
          </w:p>
        </w:tc>
        <w:tc>
          <w:tcPr>
            <w:tcW w:w="3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496D7F22" w14:textId="77777777" w:rsidR="00EB47EC" w:rsidRDefault="00000000">
            <w:r>
              <w:rPr>
                <w:rFonts w:ascii="Arial" w:eastAsia="Arial" w:hAnsi="Arial" w:cs="Arial"/>
                <w:b/>
                <w:bCs/>
                <w:color w:val="1A1A1A"/>
                <w:sz w:val="18"/>
                <w:szCs w:val="18"/>
              </w:rPr>
              <w:t>Gap</w:t>
            </w:r>
          </w:p>
        </w:tc>
        <w:tc>
          <w:tcPr>
            <w:tcW w:w="15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08B320A9" w14:textId="77777777" w:rsidR="00EB47EC" w:rsidRDefault="00000000">
            <w:r>
              <w:rPr>
                <w:rFonts w:ascii="Arial" w:eastAsia="Arial" w:hAnsi="Arial" w:cs="Arial"/>
                <w:b/>
                <w:bCs/>
                <w:color w:val="1A1A1A"/>
                <w:sz w:val="18"/>
                <w:szCs w:val="18"/>
              </w:rPr>
              <w:t>Risk Level</w:t>
            </w:r>
          </w:p>
        </w:tc>
      </w:tr>
      <w:tr w:rsidR="00EB47EC" w14:paraId="0C228C0F"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DB9A69F" w14:textId="77777777" w:rsidR="00EB47EC" w:rsidRDefault="00000000">
            <w:r>
              <w:rPr>
                <w:rFonts w:ascii="Arial" w:eastAsia="Arial" w:hAnsi="Arial" w:cs="Arial"/>
                <w:color w:val="1A1A1A"/>
                <w:sz w:val="18"/>
                <w:szCs w:val="18"/>
              </w:rPr>
              <w:t>The 24-hour early warning deadline may be missed when an actively exploited vulnerability is discovered</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639DC95" w14:textId="77777777" w:rsidR="00EB47EC" w:rsidRDefault="00000000">
            <w:r>
              <w:rPr>
                <w:rFonts w:ascii="Arial" w:eastAsia="Arial" w:hAnsi="Arial" w:cs="Arial"/>
                <w:color w:val="1A1A1A"/>
                <w:sz w:val="18"/>
                <w:szCs w:val="18"/>
              </w:rPr>
              <w:t>No pre-registration with CSIRT or ENISA reporting platform</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4D00A29" w14:textId="77777777" w:rsidR="00EB47EC" w:rsidRDefault="00000000">
            <w:r>
              <w:rPr>
                <w:rFonts w:ascii="Arial" w:eastAsia="Arial" w:hAnsi="Arial" w:cs="Arial"/>
                <w:b/>
                <w:bCs/>
                <w:color w:val="1A1A1A"/>
                <w:sz w:val="18"/>
                <w:szCs w:val="18"/>
              </w:rPr>
              <w:t>High</w:t>
            </w:r>
          </w:p>
        </w:tc>
      </w:tr>
      <w:tr w:rsidR="00EB47EC" w14:paraId="675CFA56"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463C1AA" w14:textId="77777777" w:rsidR="00EB47EC" w:rsidRDefault="00000000">
            <w:r>
              <w:rPr>
                <w:rFonts w:ascii="Arial" w:eastAsia="Arial" w:hAnsi="Arial" w:cs="Arial"/>
                <w:color w:val="1A1A1A"/>
                <w:sz w:val="18"/>
                <w:szCs w:val="18"/>
              </w:rPr>
              <w:t>Inability to demonstrate conformity through complete documentation risks EU market access for affected products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20962AA" w14:textId="77777777" w:rsidR="00EB47EC" w:rsidRDefault="00000000">
            <w:r>
              <w:rPr>
                <w:rFonts w:ascii="Arial" w:eastAsia="Arial" w:hAnsi="Arial" w:cs="Arial"/>
                <w:color w:val="1A1A1A"/>
                <w:sz w:val="18"/>
                <w:szCs w:val="18"/>
              </w:rPr>
              <w:t>No technical documentation process covering all Annex VII requirements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D1AC74F" w14:textId="77777777" w:rsidR="00EB47EC" w:rsidRDefault="00000000">
            <w:r>
              <w:rPr>
                <w:rFonts w:ascii="Arial" w:eastAsia="Arial" w:hAnsi="Arial" w:cs="Arial"/>
                <w:b/>
                <w:bCs/>
                <w:color w:val="1A1A1A"/>
                <w:sz w:val="18"/>
                <w:szCs w:val="18"/>
              </w:rPr>
              <w:t>High</w:t>
            </w:r>
          </w:p>
        </w:tc>
      </w:tr>
      <w:tr w:rsidR="00EB47EC" w14:paraId="28A79A55"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4FCB0DF" w14:textId="77777777" w:rsidR="00EB47EC" w:rsidRDefault="00000000">
            <w:r>
              <w:rPr>
                <w:rFonts w:ascii="Arial" w:eastAsia="Arial" w:hAnsi="Arial" w:cs="Arial"/>
                <w:color w:val="1A1A1A"/>
                <w:sz w:val="18"/>
                <w:szCs w:val="18"/>
              </w:rPr>
              <w:t>Users cannot assess update urgency and researchers cannot verify fixes, undermining CRA transparency obligations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D1A4FFA" w14:textId="77777777" w:rsidR="00EB47EC" w:rsidRDefault="00000000">
            <w:r>
              <w:rPr>
                <w:rFonts w:ascii="Arial" w:eastAsia="Arial" w:hAnsi="Arial" w:cs="Arial"/>
                <w:color w:val="1A1A1A"/>
                <w:sz w:val="18"/>
                <w:szCs w:val="18"/>
              </w:rPr>
              <w:t>No post-patch vulnerability disclosure process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57AF221" w14:textId="77777777" w:rsidR="00EB47EC" w:rsidRDefault="00000000">
            <w:r>
              <w:rPr>
                <w:rFonts w:ascii="Arial" w:eastAsia="Arial" w:hAnsi="Arial" w:cs="Arial"/>
                <w:b/>
                <w:bCs/>
                <w:color w:val="1A1A1A"/>
                <w:sz w:val="18"/>
                <w:szCs w:val="18"/>
              </w:rPr>
              <w:t>High</w:t>
            </w:r>
          </w:p>
        </w:tc>
      </w:tr>
      <w:tr w:rsidR="00EB47EC" w14:paraId="4F534C5B"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0D86726" w14:textId="77777777" w:rsidR="00EB47EC" w:rsidRDefault="00000000">
            <w:r>
              <w:rPr>
                <w:rFonts w:ascii="Arial" w:eastAsia="Arial" w:hAnsi="Arial" w:cs="Arial"/>
                <w:color w:val="1A1A1A"/>
                <w:sz w:val="18"/>
                <w:szCs w:val="18"/>
              </w:rPr>
              <w:t>Uninformed users cannot take protective action, amplifying the impact of security incidents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8FA0674" w14:textId="77777777" w:rsidR="00EB47EC" w:rsidRDefault="00000000">
            <w:r>
              <w:rPr>
                <w:rFonts w:ascii="Arial" w:eastAsia="Arial" w:hAnsi="Arial" w:cs="Arial"/>
                <w:color w:val="1A1A1A"/>
                <w:sz w:val="18"/>
                <w:szCs w:val="18"/>
              </w:rPr>
              <w:t>No user incident notification procedures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AD66E53" w14:textId="77777777" w:rsidR="00EB47EC" w:rsidRDefault="00000000">
            <w:r>
              <w:rPr>
                <w:rFonts w:ascii="Arial" w:eastAsia="Arial" w:hAnsi="Arial" w:cs="Arial"/>
                <w:b/>
                <w:bCs/>
                <w:color w:val="1A1A1A"/>
                <w:sz w:val="18"/>
                <w:szCs w:val="18"/>
              </w:rPr>
              <w:t>High</w:t>
            </w:r>
          </w:p>
        </w:tc>
      </w:tr>
      <w:tr w:rsidR="00EB47EC" w14:paraId="76758EF2"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9A50F9B" w14:textId="77777777" w:rsidR="00EB47EC" w:rsidRDefault="00000000">
            <w:r>
              <w:rPr>
                <w:rFonts w:ascii="Arial" w:eastAsia="Arial" w:hAnsi="Arial" w:cs="Arial"/>
                <w:color w:val="1A1A1A"/>
                <w:sz w:val="18"/>
                <w:szCs w:val="18"/>
              </w:rPr>
              <w:t>Reportable events may go unidentified or reporting may exceed mandated timeframes, resulting in non-compliance</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C549143" w14:textId="77777777" w:rsidR="00EB47EC" w:rsidRDefault="00000000">
            <w:r>
              <w:rPr>
                <w:rFonts w:ascii="Arial" w:eastAsia="Arial" w:hAnsi="Arial" w:cs="Arial"/>
                <w:color w:val="1A1A1A"/>
                <w:sz w:val="18"/>
                <w:szCs w:val="18"/>
              </w:rPr>
              <w:t>No internal escalation criteria for CRA reporting triggers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3559D05" w14:textId="77777777" w:rsidR="00EB47EC" w:rsidRDefault="00000000">
            <w:r>
              <w:rPr>
                <w:rFonts w:ascii="Arial" w:eastAsia="Arial" w:hAnsi="Arial" w:cs="Arial"/>
                <w:b/>
                <w:bCs/>
                <w:color w:val="1A1A1A"/>
                <w:sz w:val="18"/>
                <w:szCs w:val="18"/>
              </w:rPr>
              <w:t>High</w:t>
            </w:r>
          </w:p>
        </w:tc>
      </w:tr>
      <w:tr w:rsidR="00EB47EC" w14:paraId="32D8D9B3"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6F9DAB8" w14:textId="77777777" w:rsidR="00EB47EC" w:rsidRDefault="00000000">
            <w:r>
              <w:rPr>
                <w:rFonts w:ascii="Arial" w:eastAsia="Arial" w:hAnsi="Arial" w:cs="Arial"/>
                <w:color w:val="1A1A1A"/>
                <w:sz w:val="18"/>
                <w:szCs w:val="18"/>
              </w:rPr>
              <w:t>Untested reporting procedures may fail during real incidents, causing missed deadlines and incomplete notifications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A48819D" w14:textId="77777777" w:rsidR="00EB47EC" w:rsidRDefault="00000000">
            <w:r>
              <w:rPr>
                <w:rFonts w:ascii="Arial" w:eastAsia="Arial" w:hAnsi="Arial" w:cs="Arial"/>
                <w:color w:val="1A1A1A"/>
                <w:sz w:val="18"/>
                <w:szCs w:val="18"/>
              </w:rPr>
              <w:t>No CRA incident reporting exercises conducted</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AA1236D" w14:textId="77777777" w:rsidR="00EB47EC" w:rsidRDefault="00000000">
            <w:r>
              <w:rPr>
                <w:rFonts w:ascii="Arial" w:eastAsia="Arial" w:hAnsi="Arial" w:cs="Arial"/>
                <w:b/>
                <w:bCs/>
                <w:color w:val="1A1A1A"/>
                <w:sz w:val="18"/>
                <w:szCs w:val="18"/>
              </w:rPr>
              <w:t>High</w:t>
            </w:r>
          </w:p>
        </w:tc>
      </w:tr>
      <w:tr w:rsidR="00EB47EC" w14:paraId="07507B69"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4247E58" w14:textId="77777777" w:rsidR="00EB47EC" w:rsidRDefault="00000000">
            <w:r>
              <w:rPr>
                <w:rFonts w:ascii="Arial" w:eastAsia="Arial" w:hAnsi="Arial" w:cs="Arial"/>
                <w:color w:val="1A1A1A"/>
                <w:sz w:val="18"/>
                <w:szCs w:val="18"/>
              </w:rPr>
              <w:t>Inability to produce documentation on authority request may result in product withdrawal from the market</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70FD966" w14:textId="77777777" w:rsidR="00EB47EC" w:rsidRDefault="00000000">
            <w:r>
              <w:rPr>
                <w:rFonts w:ascii="Arial" w:eastAsia="Arial" w:hAnsi="Arial" w:cs="Arial"/>
                <w:color w:val="1A1A1A"/>
                <w:sz w:val="18"/>
                <w:szCs w:val="18"/>
              </w:rPr>
              <w:t>No documentation retention procedures for CRA compliance</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613F951" w14:textId="77777777" w:rsidR="00EB47EC" w:rsidRDefault="00000000">
            <w:r>
              <w:rPr>
                <w:rFonts w:ascii="Arial" w:eastAsia="Arial" w:hAnsi="Arial" w:cs="Arial"/>
                <w:b/>
                <w:bCs/>
                <w:color w:val="1A1A1A"/>
                <w:sz w:val="18"/>
                <w:szCs w:val="18"/>
              </w:rPr>
              <w:t>High</w:t>
            </w:r>
          </w:p>
        </w:tc>
      </w:tr>
      <w:tr w:rsidR="00EB47EC" w14:paraId="6A21973B"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59B1C99" w14:textId="77777777" w:rsidR="00EB47EC" w:rsidRDefault="00000000">
            <w:r>
              <w:rPr>
                <w:rFonts w:ascii="Arial" w:eastAsia="Arial" w:hAnsi="Arial" w:cs="Arial"/>
                <w:color w:val="1A1A1A"/>
                <w:sz w:val="18"/>
                <w:szCs w:val="18"/>
              </w:rPr>
              <w:t>Users may deploy products in insecure configurations, undermining built-in security and increasing attack exposure</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AA4EEEE" w14:textId="77777777" w:rsidR="00EB47EC" w:rsidRDefault="00000000">
            <w:r>
              <w:rPr>
                <w:rFonts w:ascii="Arial" w:eastAsia="Arial" w:hAnsi="Arial" w:cs="Arial"/>
                <w:color w:val="1A1A1A"/>
                <w:sz w:val="18"/>
                <w:szCs w:val="18"/>
              </w:rPr>
              <w:t>No standards for secure configuration instructions accompanying products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46ECFAA" w14:textId="77777777" w:rsidR="00EB47EC" w:rsidRDefault="00000000">
            <w:r>
              <w:rPr>
                <w:rFonts w:ascii="Arial" w:eastAsia="Arial" w:hAnsi="Arial" w:cs="Arial"/>
                <w:b/>
                <w:bCs/>
                <w:color w:val="1A1A1A"/>
                <w:sz w:val="18"/>
                <w:szCs w:val="18"/>
              </w:rPr>
              <w:t>High</w:t>
            </w:r>
          </w:p>
        </w:tc>
      </w:tr>
      <w:tr w:rsidR="00EB47EC" w14:paraId="79F58486"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5B3908C" w14:textId="77777777" w:rsidR="00EB47EC" w:rsidRDefault="00000000">
            <w:r>
              <w:rPr>
                <w:rFonts w:ascii="Arial" w:eastAsia="Arial" w:hAnsi="Arial" w:cs="Arial"/>
                <w:color w:val="1A1A1A"/>
                <w:sz w:val="18"/>
                <w:szCs w:val="18"/>
              </w:rPr>
              <w:t>Users remain exposed to known vulnerabilities for extended periods, breaching CRA update delivery requirements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4BD03BA" w14:textId="77777777" w:rsidR="00EB47EC" w:rsidRDefault="00000000">
            <w:r>
              <w:rPr>
                <w:rFonts w:ascii="Arial" w:eastAsia="Arial" w:hAnsi="Arial" w:cs="Arial"/>
                <w:color w:val="1A1A1A"/>
                <w:sz w:val="18"/>
                <w:szCs w:val="18"/>
              </w:rPr>
              <w:t>Inadequate security update capability</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244F19B" w14:textId="77777777" w:rsidR="00EB47EC" w:rsidRDefault="00000000">
            <w:r>
              <w:rPr>
                <w:rFonts w:ascii="Arial" w:eastAsia="Arial" w:hAnsi="Arial" w:cs="Arial"/>
                <w:b/>
                <w:bCs/>
                <w:color w:val="1A1A1A"/>
                <w:sz w:val="18"/>
                <w:szCs w:val="18"/>
              </w:rPr>
              <w:t>Medium</w:t>
            </w:r>
          </w:p>
        </w:tc>
      </w:tr>
      <w:tr w:rsidR="00EB47EC" w14:paraId="6971C9C3"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AE9F1E1" w14:textId="77777777" w:rsidR="00EB47EC" w:rsidRDefault="00000000">
            <w:r>
              <w:rPr>
                <w:rFonts w:ascii="Arial" w:eastAsia="Arial" w:hAnsi="Arial" w:cs="Arial"/>
                <w:color w:val="1A1A1A"/>
                <w:sz w:val="18"/>
                <w:szCs w:val="18"/>
              </w:rPr>
              <w:t>Vulnerabilities go unreported by researchers and third-party risks propagate undetected across the supply chain</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BF11F7A" w14:textId="77777777" w:rsidR="00EB47EC" w:rsidRDefault="00000000">
            <w:r>
              <w:rPr>
                <w:rFonts w:ascii="Arial" w:eastAsia="Arial" w:hAnsi="Arial" w:cs="Arial"/>
                <w:color w:val="1A1A1A"/>
                <w:sz w:val="18"/>
                <w:szCs w:val="18"/>
              </w:rPr>
              <w:t>No coordinated disclosure policy or component vulnerability sharing</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C5163E3" w14:textId="77777777" w:rsidR="00EB47EC" w:rsidRDefault="00000000">
            <w:r>
              <w:rPr>
                <w:rFonts w:ascii="Arial" w:eastAsia="Arial" w:hAnsi="Arial" w:cs="Arial"/>
                <w:b/>
                <w:bCs/>
                <w:color w:val="1A1A1A"/>
                <w:sz w:val="18"/>
                <w:szCs w:val="18"/>
              </w:rPr>
              <w:t>Medium</w:t>
            </w:r>
          </w:p>
        </w:tc>
      </w:tr>
      <w:tr w:rsidR="00EB47EC" w14:paraId="2714468E"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D5636EC" w14:textId="77777777" w:rsidR="00EB47EC" w:rsidRDefault="00000000">
            <w:r>
              <w:rPr>
                <w:rFonts w:ascii="Arial" w:eastAsia="Arial" w:hAnsi="Arial" w:cs="Arial"/>
                <w:color w:val="1A1A1A"/>
                <w:sz w:val="18"/>
                <w:szCs w:val="18"/>
              </w:rPr>
              <w:t>Post-release vulnerabilities from environment changes or dependency updates may go undetected across the portfolio</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F85E9F3" w14:textId="77777777" w:rsidR="00EB47EC" w:rsidRDefault="00000000">
            <w:r>
              <w:rPr>
                <w:rFonts w:ascii="Arial" w:eastAsia="Arial" w:hAnsi="Arial" w:cs="Arial"/>
                <w:color w:val="1A1A1A"/>
                <w:sz w:val="18"/>
                <w:szCs w:val="18"/>
              </w:rPr>
              <w:t>No ongoing security testing programme</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6D16E6" w14:textId="77777777" w:rsidR="00EB47EC" w:rsidRDefault="00000000">
            <w:r>
              <w:rPr>
                <w:rFonts w:ascii="Arial" w:eastAsia="Arial" w:hAnsi="Arial" w:cs="Arial"/>
                <w:b/>
                <w:bCs/>
                <w:color w:val="1A1A1A"/>
                <w:sz w:val="18"/>
                <w:szCs w:val="18"/>
              </w:rPr>
              <w:t>Medium</w:t>
            </w:r>
          </w:p>
        </w:tc>
      </w:tr>
      <w:tr w:rsidR="00EB47EC" w14:paraId="3CD77D9D"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E376A0" w14:textId="77777777" w:rsidR="00EB47EC" w:rsidRDefault="00000000">
            <w:r>
              <w:rPr>
                <w:rFonts w:ascii="Arial" w:eastAsia="Arial" w:hAnsi="Arial" w:cs="Arial"/>
                <w:color w:val="1A1A1A"/>
                <w:sz w:val="18"/>
                <w:szCs w:val="18"/>
              </w:rPr>
              <w:t>Missed reporting deadlines constitute a direct CRA violation with potential regulatory penalties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44AA513" w14:textId="77777777" w:rsidR="00EB47EC" w:rsidRDefault="00000000">
            <w:r>
              <w:rPr>
                <w:rFonts w:ascii="Arial" w:eastAsia="Arial" w:hAnsi="Arial" w:cs="Arial"/>
                <w:color w:val="1A1A1A"/>
                <w:sz w:val="18"/>
                <w:szCs w:val="18"/>
              </w:rPr>
              <w:t>No CRA incident reporting procedures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EABB8A6" w14:textId="77777777" w:rsidR="00EB47EC" w:rsidRDefault="00000000">
            <w:r>
              <w:rPr>
                <w:rFonts w:ascii="Arial" w:eastAsia="Arial" w:hAnsi="Arial" w:cs="Arial"/>
                <w:b/>
                <w:bCs/>
                <w:color w:val="1A1A1A"/>
                <w:sz w:val="18"/>
                <w:szCs w:val="18"/>
              </w:rPr>
              <w:t>Medium</w:t>
            </w:r>
          </w:p>
        </w:tc>
      </w:tr>
      <w:tr w:rsidR="00EB47EC" w14:paraId="3F18FECD"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1FACA8D" w14:textId="77777777" w:rsidR="00EB47EC" w:rsidRDefault="00000000">
            <w:r>
              <w:rPr>
                <w:rFonts w:ascii="Arial" w:eastAsia="Arial" w:hAnsi="Arial" w:cs="Arial"/>
                <w:color w:val="1A1A1A"/>
                <w:sz w:val="18"/>
                <w:szCs w:val="18"/>
              </w:rPr>
              <w:t>Incomplete or inconsistent risk assessments may result in technical documentation that does not meet CRA requirements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D3946E1" w14:textId="77777777" w:rsidR="00EB47EC" w:rsidRDefault="00000000">
            <w:r>
              <w:rPr>
                <w:rFonts w:ascii="Arial" w:eastAsia="Arial" w:hAnsi="Arial" w:cs="Arial"/>
                <w:color w:val="1A1A1A"/>
                <w:sz w:val="18"/>
                <w:szCs w:val="18"/>
              </w:rPr>
              <w:t>No product cybersecurity risk assessment methodology</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96126C4" w14:textId="77777777" w:rsidR="00EB47EC" w:rsidRDefault="00000000">
            <w:r>
              <w:rPr>
                <w:rFonts w:ascii="Arial" w:eastAsia="Arial" w:hAnsi="Arial" w:cs="Arial"/>
                <w:b/>
                <w:bCs/>
                <w:color w:val="1A1A1A"/>
                <w:sz w:val="18"/>
                <w:szCs w:val="18"/>
              </w:rPr>
              <w:t>Medium</w:t>
            </w:r>
          </w:p>
        </w:tc>
      </w:tr>
      <w:tr w:rsidR="00EB47EC" w14:paraId="4B5BF117"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CF3D0E5" w14:textId="77777777" w:rsidR="00EB47EC" w:rsidRDefault="00000000">
            <w:r>
              <w:rPr>
                <w:rFonts w:ascii="Arial" w:eastAsia="Arial" w:hAnsi="Arial" w:cs="Arial"/>
                <w:color w:val="1A1A1A"/>
                <w:sz w:val="18"/>
                <w:szCs w:val="18"/>
              </w:rPr>
              <w:t>Non-conforming products may remain on the market with invalid conformity declarations after unrecognised changes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0A1B389" w14:textId="77777777" w:rsidR="00EB47EC" w:rsidRDefault="00000000">
            <w:r>
              <w:rPr>
                <w:rFonts w:ascii="Arial" w:eastAsia="Arial" w:hAnsi="Arial" w:cs="Arial"/>
                <w:color w:val="1A1A1A"/>
                <w:sz w:val="18"/>
                <w:szCs w:val="18"/>
              </w:rPr>
              <w:t>No governance framework for substantial modification identification and CRA re-assessment triggers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6718084" w14:textId="77777777" w:rsidR="00EB47EC" w:rsidRDefault="00000000">
            <w:r>
              <w:rPr>
                <w:rFonts w:ascii="Arial" w:eastAsia="Arial" w:hAnsi="Arial" w:cs="Arial"/>
                <w:b/>
                <w:bCs/>
                <w:color w:val="1A1A1A"/>
                <w:sz w:val="18"/>
                <w:szCs w:val="18"/>
              </w:rPr>
              <w:t>Medium</w:t>
            </w:r>
          </w:p>
        </w:tc>
      </w:tr>
      <w:tr w:rsidR="00EB47EC" w14:paraId="0AA1BC96"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13CCE7B" w14:textId="77777777" w:rsidR="00EB47EC" w:rsidRDefault="00000000">
            <w:r>
              <w:rPr>
                <w:rFonts w:ascii="Arial" w:eastAsia="Arial" w:hAnsi="Arial" w:cs="Arial"/>
                <w:color w:val="1A1A1A"/>
                <w:sz w:val="18"/>
                <w:szCs w:val="18"/>
              </w:rPr>
              <w:t>Fundamental design weaknesses may be embedded in products that cannot be resolved through patching</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4CA1755" w14:textId="77777777" w:rsidR="00EB47EC" w:rsidRDefault="00000000">
            <w:r>
              <w:rPr>
                <w:rFonts w:ascii="Arial" w:eastAsia="Arial" w:hAnsi="Arial" w:cs="Arial"/>
                <w:color w:val="1A1A1A"/>
                <w:sz w:val="18"/>
                <w:szCs w:val="18"/>
              </w:rPr>
              <w:t>No security architecture review process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7EDD8C4" w14:textId="77777777" w:rsidR="00EB47EC" w:rsidRDefault="00000000">
            <w:r>
              <w:rPr>
                <w:rFonts w:ascii="Arial" w:eastAsia="Arial" w:hAnsi="Arial" w:cs="Arial"/>
                <w:b/>
                <w:bCs/>
                <w:color w:val="1A1A1A"/>
                <w:sz w:val="18"/>
                <w:szCs w:val="18"/>
              </w:rPr>
              <w:t>Medium</w:t>
            </w:r>
          </w:p>
        </w:tc>
      </w:tr>
      <w:tr w:rsidR="00EB47EC" w14:paraId="0835B461"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9CC70C0" w14:textId="77777777" w:rsidR="00EB47EC" w:rsidRDefault="00000000">
            <w:r>
              <w:rPr>
                <w:rFonts w:ascii="Arial" w:eastAsia="Arial" w:hAnsi="Arial" w:cs="Arial"/>
                <w:color w:val="1A1A1A"/>
                <w:sz w:val="18"/>
                <w:szCs w:val="18"/>
              </w:rPr>
              <w:t>Unrecognised substantial modifications may invalidate conformity assessments, placing non-conforming products on the market</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30E60AC" w14:textId="77777777" w:rsidR="00EB47EC" w:rsidRDefault="00000000">
            <w:r>
              <w:rPr>
                <w:rFonts w:ascii="Arial" w:eastAsia="Arial" w:hAnsi="Arial" w:cs="Arial"/>
                <w:color w:val="1A1A1A"/>
                <w:sz w:val="18"/>
                <w:szCs w:val="18"/>
              </w:rPr>
              <w:t>No reassessment process for substantial modifications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99F881E" w14:textId="77777777" w:rsidR="00EB47EC" w:rsidRDefault="00000000">
            <w:r>
              <w:rPr>
                <w:rFonts w:ascii="Arial" w:eastAsia="Arial" w:hAnsi="Arial" w:cs="Arial"/>
                <w:b/>
                <w:bCs/>
                <w:color w:val="1A1A1A"/>
                <w:sz w:val="18"/>
                <w:szCs w:val="18"/>
              </w:rPr>
              <w:t>Medium</w:t>
            </w:r>
          </w:p>
        </w:tc>
      </w:tr>
      <w:tr w:rsidR="00EB47EC" w14:paraId="5D37E41D"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F5599AD" w14:textId="77777777" w:rsidR="00EB47EC" w:rsidRDefault="00000000">
            <w:r>
              <w:rPr>
                <w:rFonts w:ascii="Arial" w:eastAsia="Arial" w:hAnsi="Arial" w:cs="Arial"/>
                <w:color w:val="1A1A1A"/>
                <w:sz w:val="18"/>
                <w:szCs w:val="18"/>
              </w:rPr>
              <w:lastRenderedPageBreak/>
              <w:t>Cloud backends and web interfaces may be compromised through weak authentication, missing MFA or poor session management</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1F52A4F" w14:textId="77777777" w:rsidR="00EB47EC" w:rsidRDefault="00000000">
            <w:r>
              <w:rPr>
                <w:rFonts w:ascii="Arial" w:eastAsia="Arial" w:hAnsi="Arial" w:cs="Arial"/>
                <w:color w:val="1A1A1A"/>
                <w:sz w:val="18"/>
                <w:szCs w:val="18"/>
              </w:rPr>
              <w:t>No security standards for cloud backends, web dashboards and remote management interfaces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564F5D7" w14:textId="77777777" w:rsidR="00EB47EC" w:rsidRDefault="00000000">
            <w:r>
              <w:rPr>
                <w:rFonts w:ascii="Arial" w:eastAsia="Arial" w:hAnsi="Arial" w:cs="Arial"/>
                <w:b/>
                <w:bCs/>
                <w:color w:val="1A1A1A"/>
                <w:sz w:val="18"/>
                <w:szCs w:val="18"/>
              </w:rPr>
              <w:t>Medium</w:t>
            </w:r>
          </w:p>
        </w:tc>
      </w:tr>
      <w:tr w:rsidR="00EB47EC" w14:paraId="234D56A6"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437106A" w14:textId="77777777" w:rsidR="00EB47EC" w:rsidRDefault="00000000">
            <w:r>
              <w:rPr>
                <w:rFonts w:ascii="Arial" w:eastAsia="Arial" w:hAnsi="Arial" w:cs="Arial"/>
                <w:color w:val="1A1A1A"/>
                <w:sz w:val="18"/>
                <w:szCs w:val="18"/>
              </w:rPr>
              <w:t>Security incidents cannot be properly investigated and forensic evidence may be lost or manipulated</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F7D9138" w14:textId="77777777" w:rsidR="00EB47EC" w:rsidRDefault="00000000">
            <w:r>
              <w:rPr>
                <w:rFonts w:ascii="Arial" w:eastAsia="Arial" w:hAnsi="Arial" w:cs="Arial"/>
                <w:color w:val="1A1A1A"/>
                <w:sz w:val="18"/>
                <w:szCs w:val="18"/>
              </w:rPr>
              <w:t>No standards for log retention, tamper protection or evidence preservation in products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F38DB99" w14:textId="77777777" w:rsidR="00EB47EC" w:rsidRDefault="00000000">
            <w:r>
              <w:rPr>
                <w:rFonts w:ascii="Arial" w:eastAsia="Arial" w:hAnsi="Arial" w:cs="Arial"/>
                <w:b/>
                <w:bCs/>
                <w:color w:val="1A1A1A"/>
                <w:sz w:val="18"/>
                <w:szCs w:val="18"/>
              </w:rPr>
              <w:t>Medium</w:t>
            </w:r>
          </w:p>
        </w:tc>
      </w:tr>
      <w:tr w:rsidR="00EB47EC" w14:paraId="479FD6FA"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901DE84" w14:textId="77777777" w:rsidR="00EB47EC" w:rsidRDefault="00000000">
            <w:r>
              <w:rPr>
                <w:rFonts w:ascii="Arial" w:eastAsia="Arial" w:hAnsi="Arial" w:cs="Arial"/>
                <w:color w:val="1A1A1A"/>
                <w:sz w:val="18"/>
                <w:szCs w:val="18"/>
              </w:rPr>
              <w:t>Vulnerable third-party components may compromise the entire product portfolio with manufacturer liability</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7C26159" w14:textId="77777777" w:rsidR="00EB47EC" w:rsidRDefault="00000000">
            <w:r>
              <w:rPr>
                <w:rFonts w:ascii="Arial" w:eastAsia="Arial" w:hAnsi="Arial" w:cs="Arial"/>
                <w:color w:val="1A1A1A"/>
                <w:sz w:val="18"/>
                <w:szCs w:val="18"/>
              </w:rPr>
              <w:t>Insufficient supply chain due diligence</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71D3C51" w14:textId="77777777" w:rsidR="00EB47EC" w:rsidRDefault="00000000">
            <w:r>
              <w:rPr>
                <w:rFonts w:ascii="Arial" w:eastAsia="Arial" w:hAnsi="Arial" w:cs="Arial"/>
                <w:b/>
                <w:bCs/>
                <w:color w:val="1A1A1A"/>
                <w:sz w:val="18"/>
                <w:szCs w:val="18"/>
              </w:rPr>
              <w:t>Medium</w:t>
            </w:r>
          </w:p>
        </w:tc>
      </w:tr>
      <w:tr w:rsidR="00EB47EC" w14:paraId="4B3BEFBD"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A070FB5" w14:textId="77777777" w:rsidR="00EB47EC" w:rsidRDefault="00000000">
            <w:r>
              <w:rPr>
                <w:rFonts w:ascii="Arial" w:eastAsia="Arial" w:hAnsi="Arial" w:cs="Arial"/>
                <w:color w:val="1A1A1A"/>
                <w:sz w:val="18"/>
                <w:szCs w:val="18"/>
              </w:rPr>
              <w:t>Newly disclosed dependency vulnerabilities may go undetected, leaving products exposed to known exploits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BF27941" w14:textId="77777777" w:rsidR="00EB47EC" w:rsidRDefault="00000000">
            <w:r>
              <w:rPr>
                <w:rFonts w:ascii="Arial" w:eastAsia="Arial" w:hAnsi="Arial" w:cs="Arial"/>
                <w:color w:val="1A1A1A"/>
                <w:sz w:val="18"/>
                <w:szCs w:val="18"/>
              </w:rPr>
              <w:t>No continuous component vulnerability monitoring</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0229F0A" w14:textId="77777777" w:rsidR="00EB47EC" w:rsidRDefault="00000000">
            <w:r>
              <w:rPr>
                <w:rFonts w:ascii="Arial" w:eastAsia="Arial" w:hAnsi="Arial" w:cs="Arial"/>
                <w:b/>
                <w:bCs/>
                <w:color w:val="1A1A1A"/>
                <w:sz w:val="18"/>
                <w:szCs w:val="18"/>
              </w:rPr>
              <w:t>Medium</w:t>
            </w:r>
          </w:p>
        </w:tc>
      </w:tr>
      <w:tr w:rsidR="00EB47EC" w14:paraId="1F356834"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5690CD6" w14:textId="77777777" w:rsidR="00EB47EC" w:rsidRDefault="00000000">
            <w:r>
              <w:rPr>
                <w:rFonts w:ascii="Arial" w:eastAsia="Arial" w:hAnsi="Arial" w:cs="Arial"/>
                <w:color w:val="1A1A1A"/>
                <w:sz w:val="18"/>
                <w:szCs w:val="18"/>
              </w:rPr>
              <w:t>Residual user data remains exposed on decommissioned products, violating CRA Annex I requirements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A1E5A8A" w14:textId="77777777" w:rsidR="00EB47EC" w:rsidRDefault="00000000">
            <w:r>
              <w:rPr>
                <w:rFonts w:ascii="Arial" w:eastAsia="Arial" w:hAnsi="Arial" w:cs="Arial"/>
                <w:color w:val="1A1A1A"/>
                <w:sz w:val="18"/>
                <w:szCs w:val="18"/>
              </w:rPr>
              <w:t>No secure data removal or portability standards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9843015" w14:textId="77777777" w:rsidR="00EB47EC" w:rsidRDefault="00000000">
            <w:r>
              <w:rPr>
                <w:rFonts w:ascii="Arial" w:eastAsia="Arial" w:hAnsi="Arial" w:cs="Arial"/>
                <w:b/>
                <w:bCs/>
                <w:color w:val="1A1A1A"/>
                <w:sz w:val="18"/>
                <w:szCs w:val="18"/>
              </w:rPr>
              <w:t>Medium</w:t>
            </w:r>
          </w:p>
        </w:tc>
      </w:tr>
      <w:tr w:rsidR="00EB47EC" w14:paraId="02DBFCE1"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EEB4CCF" w14:textId="77777777" w:rsidR="00EB47EC" w:rsidRDefault="00000000">
            <w:r>
              <w:rPr>
                <w:rFonts w:ascii="Arial" w:eastAsia="Arial" w:hAnsi="Arial" w:cs="Arial"/>
                <w:color w:val="1A1A1A"/>
                <w:sz w:val="18"/>
                <w:szCs w:val="18"/>
              </w:rPr>
              <w:t>Unnecessary interfaces and services expand the attack surface available to adversaries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3EE8AB4" w14:textId="77777777" w:rsidR="00EB47EC" w:rsidRDefault="00000000">
            <w:r>
              <w:rPr>
                <w:rFonts w:ascii="Arial" w:eastAsia="Arial" w:hAnsi="Arial" w:cs="Arial"/>
                <w:color w:val="1A1A1A"/>
                <w:sz w:val="18"/>
                <w:szCs w:val="18"/>
              </w:rPr>
              <w:t>No default service minimisation standards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14BC546" w14:textId="77777777" w:rsidR="00EB47EC" w:rsidRDefault="00000000">
            <w:r>
              <w:rPr>
                <w:rFonts w:ascii="Arial" w:eastAsia="Arial" w:hAnsi="Arial" w:cs="Arial"/>
                <w:b/>
                <w:bCs/>
                <w:color w:val="1A1A1A"/>
                <w:sz w:val="18"/>
                <w:szCs w:val="18"/>
              </w:rPr>
              <w:t>Medium</w:t>
            </w:r>
          </w:p>
        </w:tc>
      </w:tr>
      <w:tr w:rsidR="00EB47EC" w14:paraId="35AA84CD"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C80ED2C" w14:textId="77777777" w:rsidR="00EB47EC" w:rsidRDefault="00000000">
            <w:r>
              <w:rPr>
                <w:rFonts w:ascii="Arial" w:eastAsia="Arial" w:hAnsi="Arial" w:cs="Arial"/>
                <w:color w:val="1A1A1A"/>
                <w:sz w:val="18"/>
                <w:szCs w:val="18"/>
              </w:rPr>
              <w:t>Emerging threats and field vulnerabilities in marketed products may go unidentified, delaying response and risking non-compliance</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9179BFD" w14:textId="77777777" w:rsidR="00EB47EC" w:rsidRDefault="00000000">
            <w:r>
              <w:rPr>
                <w:rFonts w:ascii="Arial" w:eastAsia="Arial" w:hAnsi="Arial" w:cs="Arial"/>
                <w:color w:val="1A1A1A"/>
                <w:sz w:val="18"/>
                <w:szCs w:val="18"/>
              </w:rPr>
              <w:t>No formal post-market surveillance plan covering continuous monitoring, threat intelligence and corrective action triggers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9C7EBB6" w14:textId="77777777" w:rsidR="00EB47EC" w:rsidRDefault="00000000">
            <w:r>
              <w:rPr>
                <w:rFonts w:ascii="Arial" w:eastAsia="Arial" w:hAnsi="Arial" w:cs="Arial"/>
                <w:b/>
                <w:bCs/>
                <w:color w:val="1A1A1A"/>
                <w:sz w:val="18"/>
                <w:szCs w:val="18"/>
              </w:rPr>
              <w:t>Low</w:t>
            </w:r>
          </w:p>
        </w:tc>
      </w:tr>
      <w:tr w:rsidR="00EB47EC" w14:paraId="5FBC267F"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9B58496" w14:textId="77777777" w:rsidR="00EB47EC" w:rsidRDefault="00000000">
            <w:r>
              <w:rPr>
                <w:rFonts w:ascii="Arial" w:eastAsia="Arial" w:hAnsi="Arial" w:cs="Arial"/>
                <w:color w:val="1A1A1A"/>
                <w:sz w:val="18"/>
                <w:szCs w:val="18"/>
              </w:rPr>
              <w:t>Support periods may fall below the CRA five-year minimum, creating user uncertainty and non-compliance</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3AC5FB5" w14:textId="77777777" w:rsidR="00EB47EC" w:rsidRDefault="00000000">
            <w:r>
              <w:rPr>
                <w:rFonts w:ascii="Arial" w:eastAsia="Arial" w:hAnsi="Arial" w:cs="Arial"/>
                <w:color w:val="1A1A1A"/>
                <w:sz w:val="18"/>
                <w:szCs w:val="18"/>
              </w:rPr>
              <w:t>No support period policy</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6E08E34" w14:textId="77777777" w:rsidR="00EB47EC" w:rsidRDefault="00000000">
            <w:r>
              <w:rPr>
                <w:rFonts w:ascii="Arial" w:eastAsia="Arial" w:hAnsi="Arial" w:cs="Arial"/>
                <w:b/>
                <w:bCs/>
                <w:color w:val="1A1A1A"/>
                <w:sz w:val="18"/>
                <w:szCs w:val="18"/>
              </w:rPr>
              <w:t>Low</w:t>
            </w:r>
          </w:p>
        </w:tc>
      </w:tr>
      <w:tr w:rsidR="00EB47EC" w14:paraId="43DE58BD"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01DCC86" w14:textId="77777777" w:rsidR="00EB47EC" w:rsidRDefault="00000000">
            <w:r>
              <w:rPr>
                <w:rFonts w:ascii="Arial" w:eastAsia="Arial" w:hAnsi="Arial" w:cs="Arial"/>
                <w:color w:val="1A1A1A"/>
                <w:sz w:val="18"/>
                <w:szCs w:val="18"/>
              </w:rPr>
              <w:t>Untraceable products without proper identification markings fail basic CRA market placement requirements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23C0A39" w14:textId="77777777" w:rsidR="00EB47EC" w:rsidRDefault="00000000">
            <w:r>
              <w:rPr>
                <w:rFonts w:ascii="Arial" w:eastAsia="Arial" w:hAnsi="Arial" w:cs="Arial"/>
                <w:color w:val="1A1A1A"/>
                <w:sz w:val="18"/>
                <w:szCs w:val="18"/>
              </w:rPr>
              <w:t>No product identification and labelling standards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460E281" w14:textId="77777777" w:rsidR="00EB47EC" w:rsidRDefault="00000000">
            <w:r>
              <w:rPr>
                <w:rFonts w:ascii="Arial" w:eastAsia="Arial" w:hAnsi="Arial" w:cs="Arial"/>
                <w:b/>
                <w:bCs/>
                <w:color w:val="1A1A1A"/>
                <w:sz w:val="18"/>
                <w:szCs w:val="18"/>
              </w:rPr>
              <w:t>Low</w:t>
            </w:r>
          </w:p>
        </w:tc>
      </w:tr>
      <w:tr w:rsidR="00EB47EC" w14:paraId="564E6ED1"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3FF1776" w14:textId="77777777" w:rsidR="00EB47EC" w:rsidRDefault="00000000">
            <w:r>
              <w:rPr>
                <w:rFonts w:ascii="Arial" w:eastAsia="Arial" w:hAnsi="Arial" w:cs="Arial"/>
                <w:color w:val="1A1A1A"/>
                <w:sz w:val="18"/>
                <w:szCs w:val="18"/>
              </w:rPr>
              <w:t>Users and researchers cannot report vulnerabilities, breaching Annex II point 7 requirements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C33EAAD" w14:textId="77777777" w:rsidR="00EB47EC" w:rsidRDefault="00000000">
            <w:r>
              <w:rPr>
                <w:rFonts w:ascii="Arial" w:eastAsia="Arial" w:hAnsi="Arial" w:cs="Arial"/>
                <w:color w:val="1A1A1A"/>
                <w:sz w:val="18"/>
                <w:szCs w:val="18"/>
              </w:rPr>
              <w:t>No published vulnerability reporting contact</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EBEBC66" w14:textId="77777777" w:rsidR="00EB47EC" w:rsidRDefault="00000000">
            <w:r>
              <w:rPr>
                <w:rFonts w:ascii="Arial" w:eastAsia="Arial" w:hAnsi="Arial" w:cs="Arial"/>
                <w:b/>
                <w:bCs/>
                <w:color w:val="1A1A1A"/>
                <w:sz w:val="18"/>
                <w:szCs w:val="18"/>
              </w:rPr>
              <w:t>Low</w:t>
            </w:r>
          </w:p>
        </w:tc>
      </w:tr>
      <w:tr w:rsidR="00EB47EC" w14:paraId="657A2349"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9FE38FF" w14:textId="77777777" w:rsidR="00EB47EC" w:rsidRDefault="00000000">
            <w:r>
              <w:rPr>
                <w:rFonts w:ascii="Arial" w:eastAsia="Arial" w:hAnsi="Arial" w:cs="Arial"/>
                <w:color w:val="1A1A1A"/>
                <w:sz w:val="18"/>
                <w:szCs w:val="18"/>
              </w:rPr>
              <w:t>Unavailable SBOM information breaches CRA user information obligations and may hinder authority investigations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8DD45C9" w14:textId="77777777" w:rsidR="00EB47EC" w:rsidRDefault="00000000">
            <w:r>
              <w:rPr>
                <w:rFonts w:ascii="Arial" w:eastAsia="Arial" w:hAnsi="Arial" w:cs="Arial"/>
                <w:color w:val="1A1A1A"/>
                <w:sz w:val="18"/>
                <w:szCs w:val="18"/>
              </w:rPr>
              <w:t>No SBOM disclosure process for users and authorities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BCAFDDE" w14:textId="77777777" w:rsidR="00EB47EC" w:rsidRDefault="00000000">
            <w:r>
              <w:rPr>
                <w:rFonts w:ascii="Arial" w:eastAsia="Arial" w:hAnsi="Arial" w:cs="Arial"/>
                <w:b/>
                <w:bCs/>
                <w:color w:val="1A1A1A"/>
                <w:sz w:val="18"/>
                <w:szCs w:val="18"/>
              </w:rPr>
              <w:t>Low</w:t>
            </w:r>
          </w:p>
        </w:tc>
      </w:tr>
      <w:tr w:rsidR="00EB47EC" w14:paraId="132FD4B9"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9A8881B" w14:textId="77777777" w:rsidR="00EB47EC" w:rsidRDefault="00000000">
            <w:r>
              <w:rPr>
                <w:rFonts w:ascii="Arial" w:eastAsia="Arial" w:hAnsi="Arial" w:cs="Arial"/>
                <w:color w:val="1A1A1A"/>
                <w:sz w:val="18"/>
                <w:szCs w:val="18"/>
              </w:rPr>
              <w:t>User documentation may omit required CRA disclosures, creating compliance gaps across the portfolio</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17A2C74" w14:textId="77777777" w:rsidR="00EB47EC" w:rsidRDefault="00000000">
            <w:r>
              <w:rPr>
                <w:rFonts w:ascii="Arial" w:eastAsia="Arial" w:hAnsi="Arial" w:cs="Arial"/>
                <w:color w:val="1A1A1A"/>
                <w:sz w:val="18"/>
                <w:szCs w:val="18"/>
              </w:rPr>
              <w:t>No user information standards aligned to Annex II</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7084444" w14:textId="77777777" w:rsidR="00EB47EC" w:rsidRDefault="00000000">
            <w:r>
              <w:rPr>
                <w:rFonts w:ascii="Arial" w:eastAsia="Arial" w:hAnsi="Arial" w:cs="Arial"/>
                <w:b/>
                <w:bCs/>
                <w:color w:val="1A1A1A"/>
                <w:sz w:val="18"/>
                <w:szCs w:val="18"/>
              </w:rPr>
              <w:t>Low</w:t>
            </w:r>
          </w:p>
        </w:tc>
      </w:tr>
      <w:tr w:rsidR="00EB47EC" w14:paraId="4C1E209A"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D0085F7" w14:textId="77777777" w:rsidR="00EB47EC" w:rsidRDefault="00000000">
            <w:r>
              <w:rPr>
                <w:rFonts w:ascii="Arial" w:eastAsia="Arial" w:hAnsi="Arial" w:cs="Arial"/>
                <w:color w:val="1A1A1A"/>
                <w:sz w:val="18"/>
                <w:szCs w:val="18"/>
              </w:rPr>
              <w:t>Users may unknowingly misuse products in ways that create security exposure, breaching Annex II point 5</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8201685" w14:textId="77777777" w:rsidR="00EB47EC" w:rsidRDefault="00000000">
            <w:r>
              <w:rPr>
                <w:rFonts w:ascii="Arial" w:eastAsia="Arial" w:hAnsi="Arial" w:cs="Arial"/>
                <w:color w:val="1A1A1A"/>
                <w:sz w:val="18"/>
                <w:szCs w:val="18"/>
              </w:rPr>
              <w:t>No foreseeable misuse risk disclosure process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20CB239" w14:textId="77777777" w:rsidR="00EB47EC" w:rsidRDefault="00000000">
            <w:r>
              <w:rPr>
                <w:rFonts w:ascii="Arial" w:eastAsia="Arial" w:hAnsi="Arial" w:cs="Arial"/>
                <w:b/>
                <w:bCs/>
                <w:color w:val="1A1A1A"/>
                <w:sz w:val="18"/>
                <w:szCs w:val="18"/>
              </w:rPr>
              <w:t>Low</w:t>
            </w:r>
          </w:p>
        </w:tc>
      </w:tr>
      <w:tr w:rsidR="00EB47EC" w14:paraId="51A342EC"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AD5A35D" w14:textId="77777777" w:rsidR="00EB47EC" w:rsidRDefault="00000000">
            <w:r>
              <w:rPr>
                <w:rFonts w:ascii="Arial" w:eastAsia="Arial" w:hAnsi="Arial" w:cs="Arial"/>
                <w:color w:val="1A1A1A"/>
                <w:sz w:val="18"/>
                <w:szCs w:val="18"/>
              </w:rPr>
              <w:t>Security incidents may go undetected and uninvestigated, and missing opt-out mechanisms violate CRA user rights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0E90472" w14:textId="77777777" w:rsidR="00EB47EC" w:rsidRDefault="00000000">
            <w:r>
              <w:rPr>
                <w:rFonts w:ascii="Arial" w:eastAsia="Arial" w:hAnsi="Arial" w:cs="Arial"/>
                <w:color w:val="1A1A1A"/>
                <w:sz w:val="18"/>
                <w:szCs w:val="18"/>
              </w:rPr>
              <w:t>No security logging standards for products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65C6533" w14:textId="77777777" w:rsidR="00EB47EC" w:rsidRDefault="00000000">
            <w:r>
              <w:rPr>
                <w:rFonts w:ascii="Arial" w:eastAsia="Arial" w:hAnsi="Arial" w:cs="Arial"/>
                <w:b/>
                <w:bCs/>
                <w:color w:val="1A1A1A"/>
                <w:sz w:val="18"/>
                <w:szCs w:val="18"/>
              </w:rPr>
              <w:t>Low</w:t>
            </w:r>
          </w:p>
        </w:tc>
      </w:tr>
      <w:tr w:rsidR="00EB47EC" w14:paraId="1B585FC0"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F4B3910" w14:textId="77777777" w:rsidR="00EB47EC" w:rsidRDefault="00000000">
            <w:r>
              <w:rPr>
                <w:rFonts w:ascii="Arial" w:eastAsia="Arial" w:hAnsi="Arial" w:cs="Arial"/>
                <w:color w:val="1A1A1A"/>
                <w:sz w:val="18"/>
                <w:szCs w:val="18"/>
              </w:rPr>
              <w:t>Users lose security updates if the organisation ceases operations, and Article 13(23) notification obligations may go unmet</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3D91925" w14:textId="77777777" w:rsidR="00EB47EC" w:rsidRDefault="00000000">
            <w:r>
              <w:rPr>
                <w:rFonts w:ascii="Arial" w:eastAsia="Arial" w:hAnsi="Arial" w:cs="Arial"/>
                <w:color w:val="1A1A1A"/>
                <w:sz w:val="18"/>
                <w:szCs w:val="18"/>
              </w:rPr>
              <w:t>No CRA cessation of operations arrangements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AA65D5C" w14:textId="77777777" w:rsidR="00EB47EC" w:rsidRDefault="00000000">
            <w:r>
              <w:rPr>
                <w:rFonts w:ascii="Arial" w:eastAsia="Arial" w:hAnsi="Arial" w:cs="Arial"/>
                <w:b/>
                <w:bCs/>
                <w:color w:val="1A1A1A"/>
                <w:sz w:val="18"/>
                <w:szCs w:val="18"/>
              </w:rPr>
              <w:t>Low</w:t>
            </w:r>
          </w:p>
        </w:tc>
      </w:tr>
      <w:tr w:rsidR="00EB47EC" w14:paraId="260727C7"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85E0D9C" w14:textId="77777777" w:rsidR="00EB47EC" w:rsidRDefault="00000000">
            <w:r>
              <w:rPr>
                <w:rFonts w:ascii="Arial" w:eastAsia="Arial" w:hAnsi="Arial" w:cs="Arial"/>
                <w:color w:val="1A1A1A"/>
                <w:sz w:val="18"/>
                <w:szCs w:val="18"/>
              </w:rPr>
              <w:t>Users may remain unaware that security updates have ceased, leaving them exposed on unsupported products</w:t>
            </w:r>
          </w:p>
        </w:tc>
        <w:tc>
          <w:tcPr>
            <w:tcW w:w="3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B3CF0BD" w14:textId="77777777" w:rsidR="00EB47EC" w:rsidRDefault="00000000">
            <w:r>
              <w:rPr>
                <w:rFonts w:ascii="Arial" w:eastAsia="Arial" w:hAnsi="Arial" w:cs="Arial"/>
                <w:color w:val="1A1A1A"/>
                <w:sz w:val="18"/>
                <w:szCs w:val="18"/>
              </w:rPr>
              <w:t>No end-of-support transition procedures</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BEC5F0C" w14:textId="77777777" w:rsidR="00EB47EC" w:rsidRDefault="00000000">
            <w:r>
              <w:rPr>
                <w:rFonts w:ascii="Arial" w:eastAsia="Arial" w:hAnsi="Arial" w:cs="Arial"/>
                <w:b/>
                <w:bCs/>
                <w:color w:val="1A1A1A"/>
                <w:sz w:val="18"/>
                <w:szCs w:val="18"/>
              </w:rPr>
              <w:t>Low</w:t>
            </w:r>
          </w:p>
        </w:tc>
      </w:tr>
    </w:tbl>
    <w:p w14:paraId="7B8DBDA7" w14:textId="77777777" w:rsidR="00EB47EC" w:rsidRDefault="00000000">
      <w:r>
        <w:br w:type="page"/>
      </w:r>
    </w:p>
    <w:p w14:paraId="07B1B0FF" w14:textId="77777777" w:rsidR="00EB47EC" w:rsidRDefault="00000000">
      <w:pPr>
        <w:spacing w:after="200"/>
      </w:pPr>
      <w:r>
        <w:rPr>
          <w:rFonts w:ascii="Arial" w:eastAsia="Arial" w:hAnsi="Arial" w:cs="Arial"/>
          <w:b/>
          <w:bCs/>
          <w:color w:val="1A1A1A"/>
          <w:sz w:val="32"/>
          <w:szCs w:val="32"/>
        </w:rPr>
        <w:lastRenderedPageBreak/>
        <w:t>Recommended Prioritised Remediation Plan</w:t>
      </w:r>
    </w:p>
    <w:p w14:paraId="46DFEDBE" w14:textId="77777777" w:rsidR="00EB47EC" w:rsidRDefault="00000000">
      <w:pPr>
        <w:spacing w:after="300"/>
      </w:pPr>
      <w:r>
        <w:rPr>
          <w:rFonts w:ascii="Arial" w:eastAsia="Arial" w:hAnsi="Arial" w:cs="Arial"/>
          <w:color w:val="666666"/>
        </w:rPr>
        <w:t>Prioritised by risk level, then estimated implementation effort. Address high-risk, low-effort items first for maximum impact. Critical gaps should be resolved before the CRA reporting obligations commence on 11 September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2"/>
        <w:gridCol w:w="1683"/>
        <w:gridCol w:w="3664"/>
        <w:gridCol w:w="1645"/>
        <w:gridCol w:w="770"/>
        <w:gridCol w:w="792"/>
      </w:tblGrid>
      <w:tr w:rsidR="00EB47EC" w14:paraId="4426FEA3" w14:textId="77777777">
        <w:trPr>
          <w:tblHeader/>
        </w:trPr>
        <w:tc>
          <w:tcPr>
            <w:tcW w:w="5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17B07A54" w14:textId="77777777" w:rsidR="00EB47EC" w:rsidRDefault="00000000">
            <w:pPr>
              <w:jc w:val="center"/>
            </w:pPr>
            <w:r>
              <w:rPr>
                <w:rFonts w:ascii="Arial" w:eastAsia="Arial" w:hAnsi="Arial" w:cs="Arial"/>
                <w:b/>
                <w:bCs/>
                <w:color w:val="1A1A1A"/>
                <w:sz w:val="18"/>
                <w:szCs w:val="18"/>
              </w:rPr>
              <w:t>#</w:t>
            </w:r>
          </w:p>
        </w:tc>
        <w:tc>
          <w:tcPr>
            <w:tcW w:w="18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685195FF" w14:textId="77777777" w:rsidR="00EB47EC" w:rsidRDefault="00000000">
            <w:r>
              <w:rPr>
                <w:rFonts w:ascii="Arial" w:eastAsia="Arial" w:hAnsi="Arial" w:cs="Arial"/>
                <w:b/>
                <w:bCs/>
                <w:color w:val="1A1A1A"/>
                <w:sz w:val="18"/>
                <w:szCs w:val="18"/>
              </w:rPr>
              <w:t>Action</w:t>
            </w:r>
          </w:p>
        </w:tc>
        <w:tc>
          <w:tcPr>
            <w:tcW w:w="44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1CF43B4B" w14:textId="77777777" w:rsidR="00EB47EC" w:rsidRDefault="00000000">
            <w:r>
              <w:rPr>
                <w:rFonts w:ascii="Arial" w:eastAsia="Arial" w:hAnsi="Arial" w:cs="Arial"/>
                <w:b/>
                <w:bCs/>
                <w:color w:val="1A1A1A"/>
                <w:sz w:val="18"/>
                <w:szCs w:val="18"/>
              </w:rPr>
              <w:t>Recommendation</w:t>
            </w:r>
          </w:p>
        </w:tc>
        <w:tc>
          <w:tcPr>
            <w:tcW w:w="18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6093760C" w14:textId="77777777" w:rsidR="00EB47EC" w:rsidRDefault="00000000">
            <w:r>
              <w:rPr>
                <w:rFonts w:ascii="Arial" w:eastAsia="Arial" w:hAnsi="Arial" w:cs="Arial"/>
                <w:b/>
                <w:bCs/>
                <w:color w:val="1A1A1A"/>
                <w:sz w:val="18"/>
                <w:szCs w:val="18"/>
              </w:rPr>
              <w:t>Gap</w:t>
            </w:r>
          </w:p>
        </w:tc>
        <w:tc>
          <w:tcPr>
            <w:tcW w:w="7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1424A758" w14:textId="77777777" w:rsidR="00EB47EC" w:rsidRDefault="00000000">
            <w:r>
              <w:rPr>
                <w:rFonts w:ascii="Arial" w:eastAsia="Arial" w:hAnsi="Arial" w:cs="Arial"/>
                <w:b/>
                <w:bCs/>
                <w:color w:val="1A1A1A"/>
                <w:sz w:val="18"/>
                <w:szCs w:val="18"/>
              </w:rPr>
              <w:t>Risk</w:t>
            </w:r>
          </w:p>
        </w:tc>
        <w:tc>
          <w:tcPr>
            <w:tcW w:w="8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5D348D8B" w14:textId="77777777" w:rsidR="00EB47EC" w:rsidRDefault="00000000">
            <w:r>
              <w:rPr>
                <w:rFonts w:ascii="Arial" w:eastAsia="Arial" w:hAnsi="Arial" w:cs="Arial"/>
                <w:b/>
                <w:bCs/>
                <w:color w:val="1A1A1A"/>
                <w:sz w:val="18"/>
                <w:szCs w:val="18"/>
              </w:rPr>
              <w:t>Effort</w:t>
            </w:r>
          </w:p>
        </w:tc>
      </w:tr>
      <w:tr w:rsidR="00EB47EC" w14:paraId="138FC48C"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70397B2" w14:textId="77777777" w:rsidR="00EB47EC" w:rsidRDefault="00000000">
            <w:pPr>
              <w:jc w:val="center"/>
            </w:pPr>
            <w:r>
              <w:rPr>
                <w:rFonts w:ascii="Arial" w:eastAsia="Arial" w:hAnsi="Arial" w:cs="Arial"/>
                <w:sz w:val="18"/>
                <w:szCs w:val="18"/>
              </w:rPr>
              <w:t>1</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DF5165" w14:textId="77777777" w:rsidR="00EB47EC" w:rsidRDefault="00000000">
            <w:r>
              <w:rPr>
                <w:rFonts w:ascii="Arial" w:eastAsia="Arial" w:hAnsi="Arial" w:cs="Arial"/>
                <w:b/>
                <w:bCs/>
                <w:color w:val="1A1A1A"/>
                <w:sz w:val="16"/>
                <w:szCs w:val="16"/>
              </w:rPr>
              <w:t>Develop CRA-compliant technical documentation framework aligned to all Annex VII elements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5425F57" w14:textId="77777777" w:rsidR="00EB47EC" w:rsidRDefault="00000000">
            <w:r>
              <w:rPr>
                <w:rFonts w:ascii="Arial" w:eastAsia="Arial" w:hAnsi="Arial" w:cs="Arial"/>
                <w:color w:val="1A1A1A"/>
                <w:sz w:val="16"/>
                <w:szCs w:val="16"/>
              </w:rPr>
              <w:t>Develop Annex VII documentation templates covering product description, architecture, risk assessment, test reports and vulnerability handling including SBOM.</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E5069AB" w14:textId="77777777" w:rsidR="00EB47EC" w:rsidRDefault="00000000">
            <w:r>
              <w:rPr>
                <w:rFonts w:ascii="Arial" w:eastAsia="Arial" w:hAnsi="Arial" w:cs="Arial"/>
                <w:color w:val="1A1A1A"/>
                <w:sz w:val="16"/>
                <w:szCs w:val="16"/>
              </w:rPr>
              <w:t>No technical documentation process covering all Annex VII requirements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DF28F87" w14:textId="77777777" w:rsidR="00EB47EC" w:rsidRDefault="00000000">
            <w:r>
              <w:rPr>
                <w:rFonts w:ascii="Arial" w:eastAsia="Arial" w:hAnsi="Arial" w:cs="Arial"/>
                <w:color w:val="1A1A1A"/>
                <w:sz w:val="16"/>
                <w:szCs w:val="16"/>
              </w:rPr>
              <w:t>High</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D78EFAE" w14:textId="77777777" w:rsidR="00EB47EC" w:rsidRDefault="00000000">
            <w:r>
              <w:rPr>
                <w:rFonts w:ascii="Arial" w:eastAsia="Arial" w:hAnsi="Arial" w:cs="Arial"/>
                <w:color w:val="1A1A1A"/>
                <w:sz w:val="16"/>
                <w:szCs w:val="16"/>
              </w:rPr>
              <w:t>Low</w:t>
            </w:r>
          </w:p>
        </w:tc>
      </w:tr>
      <w:tr w:rsidR="00EB47EC" w14:paraId="042B78DD"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D73FCA3" w14:textId="77777777" w:rsidR="00EB47EC" w:rsidRDefault="00000000">
            <w:pPr>
              <w:jc w:val="center"/>
            </w:pPr>
            <w:r>
              <w:rPr>
                <w:rFonts w:ascii="Arial" w:eastAsia="Arial" w:hAnsi="Arial" w:cs="Arial"/>
                <w:sz w:val="18"/>
                <w:szCs w:val="18"/>
              </w:rPr>
              <w:t>2</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5AFC186" w14:textId="77777777" w:rsidR="00EB47EC" w:rsidRDefault="00000000">
            <w:r>
              <w:rPr>
                <w:rFonts w:ascii="Arial" w:eastAsia="Arial" w:hAnsi="Arial" w:cs="Arial"/>
                <w:b/>
                <w:bCs/>
                <w:color w:val="1A1A1A"/>
                <w:sz w:val="16"/>
                <w:szCs w:val="16"/>
              </w:rPr>
              <w:t>Establish vulnerability advisory publication procedures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29FF005" w14:textId="77777777" w:rsidR="00EB47EC" w:rsidRDefault="00000000">
            <w:r>
              <w:rPr>
                <w:rFonts w:ascii="Arial" w:eastAsia="Arial" w:hAnsi="Arial" w:cs="Arial"/>
                <w:color w:val="1A1A1A"/>
                <w:sz w:val="16"/>
                <w:szCs w:val="16"/>
              </w:rPr>
              <w:t>Establish a process for publishing security advisories with each update, including affected products, CVSS severity and remediation guidance.</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CC7CE74" w14:textId="77777777" w:rsidR="00EB47EC" w:rsidRDefault="00000000">
            <w:r>
              <w:rPr>
                <w:rFonts w:ascii="Arial" w:eastAsia="Arial" w:hAnsi="Arial" w:cs="Arial"/>
                <w:color w:val="1A1A1A"/>
                <w:sz w:val="16"/>
                <w:szCs w:val="16"/>
              </w:rPr>
              <w:t>No post-patch vulnerability disclosure process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847FB6D" w14:textId="77777777" w:rsidR="00EB47EC" w:rsidRDefault="00000000">
            <w:r>
              <w:rPr>
                <w:rFonts w:ascii="Arial" w:eastAsia="Arial" w:hAnsi="Arial" w:cs="Arial"/>
                <w:color w:val="1A1A1A"/>
                <w:sz w:val="16"/>
                <w:szCs w:val="16"/>
              </w:rPr>
              <w:t>High</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C8562C8" w14:textId="77777777" w:rsidR="00EB47EC" w:rsidRDefault="00000000">
            <w:r>
              <w:rPr>
                <w:rFonts w:ascii="Arial" w:eastAsia="Arial" w:hAnsi="Arial" w:cs="Arial"/>
                <w:color w:val="1A1A1A"/>
                <w:sz w:val="16"/>
                <w:szCs w:val="16"/>
              </w:rPr>
              <w:t>Low</w:t>
            </w:r>
          </w:p>
        </w:tc>
      </w:tr>
      <w:tr w:rsidR="00EB47EC" w14:paraId="0F989903"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2C86079" w14:textId="77777777" w:rsidR="00EB47EC" w:rsidRDefault="00000000">
            <w:pPr>
              <w:jc w:val="center"/>
            </w:pPr>
            <w:r>
              <w:rPr>
                <w:rFonts w:ascii="Arial" w:eastAsia="Arial" w:hAnsi="Arial" w:cs="Arial"/>
                <w:sz w:val="18"/>
                <w:szCs w:val="18"/>
              </w:rPr>
              <w:t>3</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C29BF8D" w14:textId="77777777" w:rsidR="00EB47EC" w:rsidRDefault="00000000">
            <w:r>
              <w:rPr>
                <w:rFonts w:ascii="Arial" w:eastAsia="Arial" w:hAnsi="Arial" w:cs="Arial"/>
                <w:b/>
                <w:bCs/>
                <w:color w:val="1A1A1A"/>
                <w:sz w:val="16"/>
                <w:szCs w:val="16"/>
              </w:rPr>
              <w:t>Establish user notification procedures for security incidents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8A64389" w14:textId="77777777" w:rsidR="00EB47EC" w:rsidRDefault="00000000">
            <w:r>
              <w:rPr>
                <w:rFonts w:ascii="Arial" w:eastAsia="Arial" w:hAnsi="Arial" w:cs="Arial"/>
                <w:color w:val="1A1A1A"/>
                <w:sz w:val="16"/>
                <w:szCs w:val="16"/>
              </w:rPr>
              <w:t>Develop user notification procedures with templates, affected user identification and remediation guidance. Test regularly across the product portfolio.</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D79CB43" w14:textId="77777777" w:rsidR="00EB47EC" w:rsidRDefault="00000000">
            <w:r>
              <w:rPr>
                <w:rFonts w:ascii="Arial" w:eastAsia="Arial" w:hAnsi="Arial" w:cs="Arial"/>
                <w:color w:val="1A1A1A"/>
                <w:sz w:val="16"/>
                <w:szCs w:val="16"/>
              </w:rPr>
              <w:t>No user incident notification procedures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477CA24" w14:textId="77777777" w:rsidR="00EB47EC" w:rsidRDefault="00000000">
            <w:r>
              <w:rPr>
                <w:rFonts w:ascii="Arial" w:eastAsia="Arial" w:hAnsi="Arial" w:cs="Arial"/>
                <w:color w:val="1A1A1A"/>
                <w:sz w:val="16"/>
                <w:szCs w:val="16"/>
              </w:rPr>
              <w:t>High</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292AA35" w14:textId="77777777" w:rsidR="00EB47EC" w:rsidRDefault="00000000">
            <w:r>
              <w:rPr>
                <w:rFonts w:ascii="Arial" w:eastAsia="Arial" w:hAnsi="Arial" w:cs="Arial"/>
                <w:color w:val="1A1A1A"/>
                <w:sz w:val="16"/>
                <w:szCs w:val="16"/>
              </w:rPr>
              <w:t>Low</w:t>
            </w:r>
          </w:p>
        </w:tc>
      </w:tr>
      <w:tr w:rsidR="00EB47EC" w14:paraId="3B06DF5A"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C32AED3" w14:textId="77777777" w:rsidR="00EB47EC" w:rsidRDefault="00000000">
            <w:pPr>
              <w:jc w:val="center"/>
            </w:pPr>
            <w:r>
              <w:rPr>
                <w:rFonts w:ascii="Arial" w:eastAsia="Arial" w:hAnsi="Arial" w:cs="Arial"/>
                <w:sz w:val="18"/>
                <w:szCs w:val="18"/>
              </w:rPr>
              <w:t>4</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F69D155" w14:textId="77777777" w:rsidR="00EB47EC" w:rsidRDefault="00000000">
            <w:r>
              <w:rPr>
                <w:rFonts w:ascii="Arial" w:eastAsia="Arial" w:hAnsi="Arial" w:cs="Arial"/>
                <w:b/>
                <w:bCs/>
                <w:color w:val="1A1A1A"/>
                <w:sz w:val="16"/>
                <w:szCs w:val="16"/>
              </w:rPr>
              <w:t>Develop internal escalation procedures and CRA reporting trigger criteria</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9908D4F" w14:textId="77777777" w:rsidR="00EB47EC" w:rsidRDefault="00000000">
            <w:r>
              <w:rPr>
                <w:rFonts w:ascii="Arial" w:eastAsia="Arial" w:hAnsi="Arial" w:cs="Arial"/>
                <w:color w:val="1A1A1A"/>
                <w:sz w:val="16"/>
                <w:szCs w:val="16"/>
              </w:rPr>
              <w:t>Develop escalation procedures with decision trees for Article 14 reporting triggers. Define actively exploited vulnerability criteria and assign decision-making roles.</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989EB09" w14:textId="77777777" w:rsidR="00EB47EC" w:rsidRDefault="00000000">
            <w:r>
              <w:rPr>
                <w:rFonts w:ascii="Arial" w:eastAsia="Arial" w:hAnsi="Arial" w:cs="Arial"/>
                <w:color w:val="1A1A1A"/>
                <w:sz w:val="16"/>
                <w:szCs w:val="16"/>
              </w:rPr>
              <w:t>No internal escalation criteria for CRA reporting triggers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B0AA238" w14:textId="77777777" w:rsidR="00EB47EC" w:rsidRDefault="00000000">
            <w:r>
              <w:rPr>
                <w:rFonts w:ascii="Arial" w:eastAsia="Arial" w:hAnsi="Arial" w:cs="Arial"/>
                <w:color w:val="1A1A1A"/>
                <w:sz w:val="16"/>
                <w:szCs w:val="16"/>
              </w:rPr>
              <w:t>High</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1FE1209" w14:textId="77777777" w:rsidR="00EB47EC" w:rsidRDefault="00000000">
            <w:r>
              <w:rPr>
                <w:rFonts w:ascii="Arial" w:eastAsia="Arial" w:hAnsi="Arial" w:cs="Arial"/>
                <w:color w:val="1A1A1A"/>
                <w:sz w:val="16"/>
                <w:szCs w:val="16"/>
              </w:rPr>
              <w:t>Low</w:t>
            </w:r>
          </w:p>
        </w:tc>
      </w:tr>
      <w:tr w:rsidR="00EB47EC" w14:paraId="4ED5068F"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1B351BF" w14:textId="77777777" w:rsidR="00EB47EC" w:rsidRDefault="00000000">
            <w:pPr>
              <w:jc w:val="center"/>
            </w:pPr>
            <w:r>
              <w:rPr>
                <w:rFonts w:ascii="Arial" w:eastAsia="Arial" w:hAnsi="Arial" w:cs="Arial"/>
                <w:sz w:val="18"/>
                <w:szCs w:val="18"/>
              </w:rPr>
              <w:t>5</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753BBE5" w14:textId="77777777" w:rsidR="00EB47EC" w:rsidRDefault="00000000">
            <w:r>
              <w:rPr>
                <w:rFonts w:ascii="Arial" w:eastAsia="Arial" w:hAnsi="Arial" w:cs="Arial"/>
                <w:b/>
                <w:bCs/>
                <w:color w:val="1A1A1A"/>
                <w:sz w:val="16"/>
                <w:szCs w:val="16"/>
              </w:rPr>
              <w:t>Conduct tabletop exercises validating CRA reporting procedures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25BF9CF" w14:textId="77777777" w:rsidR="00EB47EC" w:rsidRDefault="00000000">
            <w:r>
              <w:rPr>
                <w:rFonts w:ascii="Arial" w:eastAsia="Arial" w:hAnsi="Arial" w:cs="Arial"/>
                <w:color w:val="1A1A1A"/>
                <w:sz w:val="16"/>
                <w:szCs w:val="16"/>
              </w:rPr>
              <w:t>Conduct periodic tabletop exercises testing the full CRA reporting chain (24-hour, 72-hour and 14-day timelines). Document findings and track remediation.</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D8B6E31" w14:textId="77777777" w:rsidR="00EB47EC" w:rsidRDefault="00000000">
            <w:r>
              <w:rPr>
                <w:rFonts w:ascii="Arial" w:eastAsia="Arial" w:hAnsi="Arial" w:cs="Arial"/>
                <w:color w:val="1A1A1A"/>
                <w:sz w:val="16"/>
                <w:szCs w:val="16"/>
              </w:rPr>
              <w:t>No CRA incident reporting exercises conducted</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90F082B" w14:textId="77777777" w:rsidR="00EB47EC" w:rsidRDefault="00000000">
            <w:r>
              <w:rPr>
                <w:rFonts w:ascii="Arial" w:eastAsia="Arial" w:hAnsi="Arial" w:cs="Arial"/>
                <w:color w:val="1A1A1A"/>
                <w:sz w:val="16"/>
                <w:szCs w:val="16"/>
              </w:rPr>
              <w:t>High</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0B94691" w14:textId="77777777" w:rsidR="00EB47EC" w:rsidRDefault="00000000">
            <w:r>
              <w:rPr>
                <w:rFonts w:ascii="Arial" w:eastAsia="Arial" w:hAnsi="Arial" w:cs="Arial"/>
                <w:color w:val="1A1A1A"/>
                <w:sz w:val="16"/>
                <w:szCs w:val="16"/>
              </w:rPr>
              <w:t>Low</w:t>
            </w:r>
          </w:p>
        </w:tc>
      </w:tr>
      <w:tr w:rsidR="00EB47EC" w14:paraId="487E9815"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D698CA4" w14:textId="77777777" w:rsidR="00EB47EC" w:rsidRDefault="00000000">
            <w:pPr>
              <w:jc w:val="center"/>
            </w:pPr>
            <w:r>
              <w:rPr>
                <w:rFonts w:ascii="Arial" w:eastAsia="Arial" w:hAnsi="Arial" w:cs="Arial"/>
                <w:sz w:val="18"/>
                <w:szCs w:val="18"/>
              </w:rPr>
              <w:t>6</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545509C" w14:textId="77777777" w:rsidR="00EB47EC" w:rsidRDefault="00000000">
            <w:r>
              <w:rPr>
                <w:rFonts w:ascii="Arial" w:eastAsia="Arial" w:hAnsi="Arial" w:cs="Arial"/>
                <w:b/>
                <w:bCs/>
                <w:color w:val="1A1A1A"/>
                <w:sz w:val="16"/>
                <w:szCs w:val="16"/>
              </w:rPr>
              <w:t>Establish CRA-compliant documentation retention and archival procedures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F325321" w14:textId="77777777" w:rsidR="00EB47EC" w:rsidRDefault="00000000">
            <w:r>
              <w:rPr>
                <w:rFonts w:ascii="Arial" w:eastAsia="Arial" w:hAnsi="Arial" w:cs="Arial"/>
                <w:color w:val="1A1A1A"/>
                <w:sz w:val="16"/>
                <w:szCs w:val="16"/>
              </w:rPr>
              <w:t>Implement a document management system with 10-year retention for technical documentation, Declarations of Conformity and user information, including access controls and backups.</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8ABE665" w14:textId="77777777" w:rsidR="00EB47EC" w:rsidRDefault="00000000">
            <w:r>
              <w:rPr>
                <w:rFonts w:ascii="Arial" w:eastAsia="Arial" w:hAnsi="Arial" w:cs="Arial"/>
                <w:color w:val="1A1A1A"/>
                <w:sz w:val="16"/>
                <w:szCs w:val="16"/>
              </w:rPr>
              <w:t>No documentation retention procedures for CRA compliance</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5B25628" w14:textId="77777777" w:rsidR="00EB47EC" w:rsidRDefault="00000000">
            <w:r>
              <w:rPr>
                <w:rFonts w:ascii="Arial" w:eastAsia="Arial" w:hAnsi="Arial" w:cs="Arial"/>
                <w:color w:val="1A1A1A"/>
                <w:sz w:val="16"/>
                <w:szCs w:val="16"/>
              </w:rPr>
              <w:t>High</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5A00F7A" w14:textId="77777777" w:rsidR="00EB47EC" w:rsidRDefault="00000000">
            <w:r>
              <w:rPr>
                <w:rFonts w:ascii="Arial" w:eastAsia="Arial" w:hAnsi="Arial" w:cs="Arial"/>
                <w:color w:val="1A1A1A"/>
                <w:sz w:val="16"/>
                <w:szCs w:val="16"/>
              </w:rPr>
              <w:t>Low</w:t>
            </w:r>
          </w:p>
        </w:tc>
      </w:tr>
      <w:tr w:rsidR="00EB47EC" w14:paraId="74AFE110"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B9D3286" w14:textId="77777777" w:rsidR="00EB47EC" w:rsidRDefault="00000000">
            <w:pPr>
              <w:jc w:val="center"/>
            </w:pPr>
            <w:r>
              <w:rPr>
                <w:rFonts w:ascii="Arial" w:eastAsia="Arial" w:hAnsi="Arial" w:cs="Arial"/>
                <w:sz w:val="18"/>
                <w:szCs w:val="18"/>
              </w:rPr>
              <w:t>7</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8A810CE" w14:textId="77777777" w:rsidR="00EB47EC" w:rsidRDefault="00000000">
            <w:r>
              <w:rPr>
                <w:rFonts w:ascii="Arial" w:eastAsia="Arial" w:hAnsi="Arial" w:cs="Arial"/>
                <w:b/>
                <w:bCs/>
                <w:color w:val="1A1A1A"/>
                <w:sz w:val="16"/>
                <w:szCs w:val="16"/>
              </w:rPr>
              <w:t>Develop secure configuration instruction standards for all products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2996550" w14:textId="77777777" w:rsidR="00EB47EC" w:rsidRDefault="00000000">
            <w:r>
              <w:rPr>
                <w:rFonts w:ascii="Arial" w:eastAsia="Arial" w:hAnsi="Arial" w:cs="Arial"/>
                <w:color w:val="1A1A1A"/>
                <w:sz w:val="16"/>
                <w:szCs w:val="16"/>
              </w:rPr>
              <w:t>Develop secure configuration instruction templates covering installation, recommended settings and maintenance in clear, accessible language per Annex II.</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1D0638F" w14:textId="77777777" w:rsidR="00EB47EC" w:rsidRDefault="00000000">
            <w:r>
              <w:rPr>
                <w:rFonts w:ascii="Arial" w:eastAsia="Arial" w:hAnsi="Arial" w:cs="Arial"/>
                <w:color w:val="1A1A1A"/>
                <w:sz w:val="16"/>
                <w:szCs w:val="16"/>
              </w:rPr>
              <w:t>No standards for secure configuration instructions accompanying products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2885951" w14:textId="77777777" w:rsidR="00EB47EC" w:rsidRDefault="00000000">
            <w:r>
              <w:rPr>
                <w:rFonts w:ascii="Arial" w:eastAsia="Arial" w:hAnsi="Arial" w:cs="Arial"/>
                <w:color w:val="1A1A1A"/>
                <w:sz w:val="16"/>
                <w:szCs w:val="16"/>
              </w:rPr>
              <w:t>High</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3D74648" w14:textId="77777777" w:rsidR="00EB47EC" w:rsidRDefault="00000000">
            <w:r>
              <w:rPr>
                <w:rFonts w:ascii="Arial" w:eastAsia="Arial" w:hAnsi="Arial" w:cs="Arial"/>
                <w:color w:val="1A1A1A"/>
                <w:sz w:val="16"/>
                <w:szCs w:val="16"/>
              </w:rPr>
              <w:t>Low</w:t>
            </w:r>
          </w:p>
        </w:tc>
      </w:tr>
      <w:tr w:rsidR="00EB47EC" w14:paraId="69D98472"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A5A29C3" w14:textId="77777777" w:rsidR="00EB47EC" w:rsidRDefault="00000000">
            <w:pPr>
              <w:jc w:val="center"/>
            </w:pPr>
            <w:r>
              <w:rPr>
                <w:rFonts w:ascii="Arial" w:eastAsia="Arial" w:hAnsi="Arial" w:cs="Arial"/>
                <w:sz w:val="18"/>
                <w:szCs w:val="18"/>
              </w:rPr>
              <w:t>8</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000D690" w14:textId="77777777" w:rsidR="00EB47EC" w:rsidRDefault="00000000">
            <w:r>
              <w:rPr>
                <w:rFonts w:ascii="Arial" w:eastAsia="Arial" w:hAnsi="Arial" w:cs="Arial"/>
                <w:b/>
                <w:bCs/>
                <w:color w:val="1A1A1A"/>
                <w:sz w:val="16"/>
                <w:szCs w:val="16"/>
              </w:rPr>
              <w:t>Pre-register with designated CSIRT and ENISA single reporting platform</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B34190C" w14:textId="77777777" w:rsidR="00EB47EC" w:rsidRDefault="00000000">
            <w:r>
              <w:rPr>
                <w:rFonts w:ascii="Arial" w:eastAsia="Arial" w:hAnsi="Arial" w:cs="Arial"/>
                <w:color w:val="1A1A1A"/>
                <w:sz w:val="16"/>
                <w:szCs w:val="16"/>
              </w:rPr>
              <w:t>Identify and pre-register with the designated CSIRT(s) and ENISA reporting platform for each target Member State. Test submission processes.</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8B1A6D1" w14:textId="77777777" w:rsidR="00EB47EC" w:rsidRDefault="00000000">
            <w:r>
              <w:rPr>
                <w:rFonts w:ascii="Arial" w:eastAsia="Arial" w:hAnsi="Arial" w:cs="Arial"/>
                <w:color w:val="1A1A1A"/>
                <w:sz w:val="16"/>
                <w:szCs w:val="16"/>
              </w:rPr>
              <w:t>No pre-registration with CSIRT or ENISA reporting platform</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2598861" w14:textId="77777777" w:rsidR="00EB47EC" w:rsidRDefault="00000000">
            <w:r>
              <w:rPr>
                <w:rFonts w:ascii="Arial" w:eastAsia="Arial" w:hAnsi="Arial" w:cs="Arial"/>
                <w:color w:val="1A1A1A"/>
                <w:sz w:val="16"/>
                <w:szCs w:val="16"/>
              </w:rPr>
              <w:t>High</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FD1ACA8" w14:textId="77777777" w:rsidR="00EB47EC" w:rsidRDefault="00000000">
            <w:r>
              <w:rPr>
                <w:rFonts w:ascii="Arial" w:eastAsia="Arial" w:hAnsi="Arial" w:cs="Arial"/>
                <w:color w:val="1A1A1A"/>
                <w:sz w:val="16"/>
                <w:szCs w:val="16"/>
              </w:rPr>
              <w:t>Medium</w:t>
            </w:r>
          </w:p>
        </w:tc>
      </w:tr>
      <w:tr w:rsidR="00EB47EC" w14:paraId="10D65981"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8BAEAF8" w14:textId="77777777" w:rsidR="00EB47EC" w:rsidRDefault="00000000">
            <w:pPr>
              <w:jc w:val="center"/>
            </w:pPr>
            <w:r>
              <w:rPr>
                <w:rFonts w:ascii="Arial" w:eastAsia="Arial" w:hAnsi="Arial" w:cs="Arial"/>
                <w:sz w:val="18"/>
                <w:szCs w:val="18"/>
              </w:rPr>
              <w:t>9</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5D518F8" w14:textId="77777777" w:rsidR="00EB47EC" w:rsidRDefault="00000000">
            <w:r>
              <w:rPr>
                <w:rFonts w:ascii="Arial" w:eastAsia="Arial" w:hAnsi="Arial" w:cs="Arial"/>
                <w:b/>
                <w:bCs/>
                <w:color w:val="1A1A1A"/>
                <w:sz w:val="16"/>
                <w:szCs w:val="16"/>
              </w:rPr>
              <w:t>Publish and operationalise a vulnerability disclosure policy with third-party component coverage</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B2B92A6" w14:textId="77777777" w:rsidR="00EB47EC" w:rsidRDefault="00000000">
            <w:r>
              <w:rPr>
                <w:rFonts w:ascii="Arial" w:eastAsia="Arial" w:hAnsi="Arial" w:cs="Arial"/>
                <w:color w:val="1A1A1A"/>
                <w:sz w:val="16"/>
                <w:szCs w:val="16"/>
              </w:rPr>
              <w:t>Publish a coordinated vulnerability disclosure policy with a dedicated security contact (e.g. security.txt), defined response timelines and procedures for upstream/downstream information sharing.</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1A5B8C1" w14:textId="77777777" w:rsidR="00EB47EC" w:rsidRDefault="00000000">
            <w:r>
              <w:rPr>
                <w:rFonts w:ascii="Arial" w:eastAsia="Arial" w:hAnsi="Arial" w:cs="Arial"/>
                <w:color w:val="1A1A1A"/>
                <w:sz w:val="16"/>
                <w:szCs w:val="16"/>
              </w:rPr>
              <w:t>No coordinated disclosure policy or component vulnerability sharing</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DADA4C6"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996FF8B" w14:textId="77777777" w:rsidR="00EB47EC" w:rsidRDefault="00000000">
            <w:r>
              <w:rPr>
                <w:rFonts w:ascii="Arial" w:eastAsia="Arial" w:hAnsi="Arial" w:cs="Arial"/>
                <w:color w:val="1A1A1A"/>
                <w:sz w:val="16"/>
                <w:szCs w:val="16"/>
              </w:rPr>
              <w:t>Low</w:t>
            </w:r>
          </w:p>
        </w:tc>
      </w:tr>
      <w:tr w:rsidR="00EB47EC" w14:paraId="454B0414"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A3473D2" w14:textId="77777777" w:rsidR="00EB47EC" w:rsidRDefault="00000000">
            <w:pPr>
              <w:jc w:val="center"/>
            </w:pPr>
            <w:r>
              <w:rPr>
                <w:rFonts w:ascii="Arial" w:eastAsia="Arial" w:hAnsi="Arial" w:cs="Arial"/>
                <w:sz w:val="18"/>
                <w:szCs w:val="18"/>
              </w:rPr>
              <w:t>10</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94BFD7B" w14:textId="77777777" w:rsidR="00EB47EC" w:rsidRDefault="00000000">
            <w:r>
              <w:rPr>
                <w:rFonts w:ascii="Arial" w:eastAsia="Arial" w:hAnsi="Arial" w:cs="Arial"/>
                <w:b/>
                <w:bCs/>
                <w:color w:val="1A1A1A"/>
                <w:sz w:val="16"/>
                <w:szCs w:val="16"/>
              </w:rPr>
              <w:t>Establish CRA-compliant incident reporting procedures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3482862" w14:textId="77777777" w:rsidR="00EB47EC" w:rsidRDefault="00000000">
            <w:r>
              <w:rPr>
                <w:rFonts w:ascii="Arial" w:eastAsia="Arial" w:hAnsi="Arial" w:cs="Arial"/>
                <w:color w:val="1A1A1A"/>
                <w:sz w:val="16"/>
                <w:szCs w:val="16"/>
              </w:rPr>
              <w:t>Implement Article 14 reporting procedures (24-hour early warning, 72-hour notification, 14-day final report). Pre-register with CSIRT and ENISA and validate through exercises.</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2420321" w14:textId="77777777" w:rsidR="00EB47EC" w:rsidRDefault="00000000">
            <w:r>
              <w:rPr>
                <w:rFonts w:ascii="Arial" w:eastAsia="Arial" w:hAnsi="Arial" w:cs="Arial"/>
                <w:color w:val="1A1A1A"/>
                <w:sz w:val="16"/>
                <w:szCs w:val="16"/>
              </w:rPr>
              <w:t>No CRA incident reporting procedures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97EE66C"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45AAA7B" w14:textId="77777777" w:rsidR="00EB47EC" w:rsidRDefault="00000000">
            <w:r>
              <w:rPr>
                <w:rFonts w:ascii="Arial" w:eastAsia="Arial" w:hAnsi="Arial" w:cs="Arial"/>
                <w:color w:val="1A1A1A"/>
                <w:sz w:val="16"/>
                <w:szCs w:val="16"/>
              </w:rPr>
              <w:t>Low</w:t>
            </w:r>
          </w:p>
        </w:tc>
      </w:tr>
      <w:tr w:rsidR="00EB47EC" w14:paraId="33134D16"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9E85379" w14:textId="77777777" w:rsidR="00EB47EC" w:rsidRDefault="00000000">
            <w:pPr>
              <w:jc w:val="center"/>
            </w:pPr>
            <w:r>
              <w:rPr>
                <w:rFonts w:ascii="Arial" w:eastAsia="Arial" w:hAnsi="Arial" w:cs="Arial"/>
                <w:sz w:val="18"/>
                <w:szCs w:val="18"/>
              </w:rPr>
              <w:lastRenderedPageBreak/>
              <w:t>11</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0D72B7E" w14:textId="77777777" w:rsidR="00EB47EC" w:rsidRDefault="00000000">
            <w:r>
              <w:rPr>
                <w:rFonts w:ascii="Arial" w:eastAsia="Arial" w:hAnsi="Arial" w:cs="Arial"/>
                <w:b/>
                <w:bCs/>
                <w:color w:val="1A1A1A"/>
                <w:sz w:val="16"/>
                <w:szCs w:val="16"/>
              </w:rPr>
              <w:t>Establish a substantial modification governance framework with clear classification criteria and re-assessment triggers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9AC2EC8" w14:textId="77777777" w:rsidR="00EB47EC" w:rsidRDefault="00000000">
            <w:r>
              <w:rPr>
                <w:rFonts w:ascii="Arial" w:eastAsia="Arial" w:hAnsi="Arial" w:cs="Arial"/>
                <w:color w:val="1A1A1A"/>
                <w:sz w:val="16"/>
                <w:szCs w:val="16"/>
              </w:rPr>
              <w:t>Establish governance for classifying substantial modifications per Articles 3(31) and 22. Trigger re-assessment, documentation updates and renewed conformity assessment where applicable.</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D8B765D" w14:textId="77777777" w:rsidR="00EB47EC" w:rsidRDefault="00000000">
            <w:r>
              <w:rPr>
                <w:rFonts w:ascii="Arial" w:eastAsia="Arial" w:hAnsi="Arial" w:cs="Arial"/>
                <w:color w:val="1A1A1A"/>
                <w:sz w:val="16"/>
                <w:szCs w:val="16"/>
              </w:rPr>
              <w:t>No governance framework for substantial modification identification and CRA re-assessment triggers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A48A11A"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59620C" w14:textId="77777777" w:rsidR="00EB47EC" w:rsidRDefault="00000000">
            <w:r>
              <w:rPr>
                <w:rFonts w:ascii="Arial" w:eastAsia="Arial" w:hAnsi="Arial" w:cs="Arial"/>
                <w:color w:val="1A1A1A"/>
                <w:sz w:val="16"/>
                <w:szCs w:val="16"/>
              </w:rPr>
              <w:t>Low</w:t>
            </w:r>
          </w:p>
        </w:tc>
      </w:tr>
      <w:tr w:rsidR="00EB47EC" w14:paraId="2E5C5D5D"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6811FF5" w14:textId="77777777" w:rsidR="00EB47EC" w:rsidRDefault="00000000">
            <w:pPr>
              <w:jc w:val="center"/>
            </w:pPr>
            <w:r>
              <w:rPr>
                <w:rFonts w:ascii="Arial" w:eastAsia="Arial" w:hAnsi="Arial" w:cs="Arial"/>
                <w:sz w:val="18"/>
                <w:szCs w:val="18"/>
              </w:rPr>
              <w:t>12</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2B3C11D" w14:textId="77777777" w:rsidR="00EB47EC" w:rsidRDefault="00000000">
            <w:r>
              <w:rPr>
                <w:rFonts w:ascii="Arial" w:eastAsia="Arial" w:hAnsi="Arial" w:cs="Arial"/>
                <w:b/>
                <w:bCs/>
                <w:color w:val="1A1A1A"/>
                <w:sz w:val="16"/>
                <w:szCs w:val="16"/>
              </w:rPr>
              <w:t>Establish formal security architecture review for products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5043778" w14:textId="77777777" w:rsidR="00EB47EC" w:rsidRDefault="00000000">
            <w:r>
              <w:rPr>
                <w:rFonts w:ascii="Arial" w:eastAsia="Arial" w:hAnsi="Arial" w:cs="Arial"/>
                <w:color w:val="1A1A1A"/>
                <w:sz w:val="16"/>
                <w:szCs w:val="16"/>
              </w:rPr>
              <w:t>Establish a mandatory security architecture review for all new products and significant changes, covering trust boundaries, data flows, authentication and encryption.</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DD0F0CD" w14:textId="77777777" w:rsidR="00EB47EC" w:rsidRDefault="00000000">
            <w:r>
              <w:rPr>
                <w:rFonts w:ascii="Arial" w:eastAsia="Arial" w:hAnsi="Arial" w:cs="Arial"/>
                <w:color w:val="1A1A1A"/>
                <w:sz w:val="16"/>
                <w:szCs w:val="16"/>
              </w:rPr>
              <w:t>No security architecture review process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3B2CC22"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D4DD7CA" w14:textId="77777777" w:rsidR="00EB47EC" w:rsidRDefault="00000000">
            <w:r>
              <w:rPr>
                <w:rFonts w:ascii="Arial" w:eastAsia="Arial" w:hAnsi="Arial" w:cs="Arial"/>
                <w:color w:val="1A1A1A"/>
                <w:sz w:val="16"/>
                <w:szCs w:val="16"/>
              </w:rPr>
              <w:t>Low</w:t>
            </w:r>
          </w:p>
        </w:tc>
      </w:tr>
      <w:tr w:rsidR="00EB47EC" w14:paraId="5EB337E3"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87691BA" w14:textId="77777777" w:rsidR="00EB47EC" w:rsidRDefault="00000000">
            <w:pPr>
              <w:jc w:val="center"/>
            </w:pPr>
            <w:r>
              <w:rPr>
                <w:rFonts w:ascii="Arial" w:eastAsia="Arial" w:hAnsi="Arial" w:cs="Arial"/>
                <w:sz w:val="18"/>
                <w:szCs w:val="18"/>
              </w:rPr>
              <w:t>13</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7C15759" w14:textId="77777777" w:rsidR="00EB47EC" w:rsidRDefault="00000000">
            <w:r>
              <w:rPr>
                <w:rFonts w:ascii="Arial" w:eastAsia="Arial" w:hAnsi="Arial" w:cs="Arial"/>
                <w:b/>
                <w:bCs/>
                <w:color w:val="1A1A1A"/>
                <w:sz w:val="16"/>
                <w:szCs w:val="16"/>
              </w:rPr>
              <w:t>Implement substantial modification identification and reassessment procedures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F40D5CF" w14:textId="77777777" w:rsidR="00EB47EC" w:rsidRDefault="00000000">
            <w:r>
              <w:rPr>
                <w:rFonts w:ascii="Arial" w:eastAsia="Arial" w:hAnsi="Arial" w:cs="Arial"/>
                <w:color w:val="1A1A1A"/>
                <w:sz w:val="16"/>
                <w:szCs w:val="16"/>
              </w:rPr>
              <w:t>Define criteria for substantial modifications per Article 22 with a change impact assessment process triggering re-evaluation, documentation updates and renewed conformity assessment.</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557564A" w14:textId="77777777" w:rsidR="00EB47EC" w:rsidRDefault="00000000">
            <w:r>
              <w:rPr>
                <w:rFonts w:ascii="Arial" w:eastAsia="Arial" w:hAnsi="Arial" w:cs="Arial"/>
                <w:color w:val="1A1A1A"/>
                <w:sz w:val="16"/>
                <w:szCs w:val="16"/>
              </w:rPr>
              <w:t>No reassessment process for substantial modifications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2964AE5"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AC41054" w14:textId="77777777" w:rsidR="00EB47EC" w:rsidRDefault="00000000">
            <w:r>
              <w:rPr>
                <w:rFonts w:ascii="Arial" w:eastAsia="Arial" w:hAnsi="Arial" w:cs="Arial"/>
                <w:color w:val="1A1A1A"/>
                <w:sz w:val="16"/>
                <w:szCs w:val="16"/>
              </w:rPr>
              <w:t>Low</w:t>
            </w:r>
          </w:p>
        </w:tc>
      </w:tr>
      <w:tr w:rsidR="00EB47EC" w14:paraId="0E153590"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C73E359" w14:textId="77777777" w:rsidR="00EB47EC" w:rsidRDefault="00000000">
            <w:pPr>
              <w:jc w:val="center"/>
            </w:pPr>
            <w:r>
              <w:rPr>
                <w:rFonts w:ascii="Arial" w:eastAsia="Arial" w:hAnsi="Arial" w:cs="Arial"/>
                <w:sz w:val="18"/>
                <w:szCs w:val="18"/>
              </w:rPr>
              <w:t>14</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4E585AE" w14:textId="77777777" w:rsidR="00EB47EC" w:rsidRDefault="00000000">
            <w:r>
              <w:rPr>
                <w:rFonts w:ascii="Arial" w:eastAsia="Arial" w:hAnsi="Arial" w:cs="Arial"/>
                <w:b/>
                <w:bCs/>
                <w:color w:val="1A1A1A"/>
                <w:sz w:val="16"/>
                <w:szCs w:val="16"/>
              </w:rPr>
              <w:t>Establish security standards for all cloud and web-facing product components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4462E78" w14:textId="77777777" w:rsidR="00EB47EC" w:rsidRDefault="00000000">
            <w:r>
              <w:rPr>
                <w:rFonts w:ascii="Arial" w:eastAsia="Arial" w:hAnsi="Arial" w:cs="Arial"/>
                <w:color w:val="1A1A1A"/>
                <w:sz w:val="16"/>
                <w:szCs w:val="16"/>
              </w:rPr>
              <w:t>Define security standards for cloud backends and web interfaces covering MFA for admin access, RBAC, secure sessions, rate limiting and event logging.</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371654B" w14:textId="77777777" w:rsidR="00EB47EC" w:rsidRDefault="00000000">
            <w:r>
              <w:rPr>
                <w:rFonts w:ascii="Arial" w:eastAsia="Arial" w:hAnsi="Arial" w:cs="Arial"/>
                <w:color w:val="1A1A1A"/>
                <w:sz w:val="16"/>
                <w:szCs w:val="16"/>
              </w:rPr>
              <w:t>No security standards for cloud backends, web dashboards and remote management interfaces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047D4D3"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EBC6FAE" w14:textId="77777777" w:rsidR="00EB47EC" w:rsidRDefault="00000000">
            <w:r>
              <w:rPr>
                <w:rFonts w:ascii="Arial" w:eastAsia="Arial" w:hAnsi="Arial" w:cs="Arial"/>
                <w:color w:val="1A1A1A"/>
                <w:sz w:val="16"/>
                <w:szCs w:val="16"/>
              </w:rPr>
              <w:t>Low</w:t>
            </w:r>
          </w:p>
        </w:tc>
      </w:tr>
      <w:tr w:rsidR="00EB47EC" w14:paraId="1F5FE03D"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EB49680" w14:textId="77777777" w:rsidR="00EB47EC" w:rsidRDefault="00000000">
            <w:pPr>
              <w:jc w:val="center"/>
            </w:pPr>
            <w:r>
              <w:rPr>
                <w:rFonts w:ascii="Arial" w:eastAsia="Arial" w:hAnsi="Arial" w:cs="Arial"/>
                <w:sz w:val="18"/>
                <w:szCs w:val="18"/>
              </w:rPr>
              <w:t>15</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0FE8763" w14:textId="77777777" w:rsidR="00EB47EC" w:rsidRDefault="00000000">
            <w:r>
              <w:rPr>
                <w:rFonts w:ascii="Arial" w:eastAsia="Arial" w:hAnsi="Arial" w:cs="Arial"/>
                <w:b/>
                <w:bCs/>
                <w:color w:val="1A1A1A"/>
                <w:sz w:val="16"/>
                <w:szCs w:val="16"/>
              </w:rPr>
              <w:t>Establish log retention, integrity protection and forensic readiness standards for products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9CC777" w14:textId="77777777" w:rsidR="00EB47EC" w:rsidRDefault="00000000">
            <w:r>
              <w:rPr>
                <w:rFonts w:ascii="Arial" w:eastAsia="Arial" w:hAnsi="Arial" w:cs="Arial"/>
                <w:color w:val="1A1A1A"/>
                <w:sz w:val="16"/>
                <w:szCs w:val="16"/>
              </w:rPr>
              <w:t>Define product logging standards with risk-based retention periods, tamper protection (e.g. append-only storage, cryptographic chaining) and secure forensic export.</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C9D0CA7" w14:textId="77777777" w:rsidR="00EB47EC" w:rsidRDefault="00000000">
            <w:r>
              <w:rPr>
                <w:rFonts w:ascii="Arial" w:eastAsia="Arial" w:hAnsi="Arial" w:cs="Arial"/>
                <w:color w:val="1A1A1A"/>
                <w:sz w:val="16"/>
                <w:szCs w:val="16"/>
              </w:rPr>
              <w:t>No standards for log retention, tamper protection or evidence preservation in products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FFB3623"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358C3E5" w14:textId="77777777" w:rsidR="00EB47EC" w:rsidRDefault="00000000">
            <w:r>
              <w:rPr>
                <w:rFonts w:ascii="Arial" w:eastAsia="Arial" w:hAnsi="Arial" w:cs="Arial"/>
                <w:color w:val="1A1A1A"/>
                <w:sz w:val="16"/>
                <w:szCs w:val="16"/>
              </w:rPr>
              <w:t>Low</w:t>
            </w:r>
          </w:p>
        </w:tc>
      </w:tr>
      <w:tr w:rsidR="00EB47EC" w14:paraId="1CD32BBF"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C2A58E8" w14:textId="77777777" w:rsidR="00EB47EC" w:rsidRDefault="00000000">
            <w:pPr>
              <w:jc w:val="center"/>
            </w:pPr>
            <w:r>
              <w:rPr>
                <w:rFonts w:ascii="Arial" w:eastAsia="Arial" w:hAnsi="Arial" w:cs="Arial"/>
                <w:sz w:val="18"/>
                <w:szCs w:val="18"/>
              </w:rPr>
              <w:t>16</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FA18077" w14:textId="77777777" w:rsidR="00EB47EC" w:rsidRDefault="00000000">
            <w:r>
              <w:rPr>
                <w:rFonts w:ascii="Arial" w:eastAsia="Arial" w:hAnsi="Arial" w:cs="Arial"/>
                <w:b/>
                <w:bCs/>
                <w:color w:val="1A1A1A"/>
                <w:sz w:val="16"/>
                <w:szCs w:val="16"/>
              </w:rPr>
              <w:t>Implement organisation-wide component security governance</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1CA3A4F" w14:textId="77777777" w:rsidR="00EB47EC" w:rsidRDefault="00000000">
            <w:r>
              <w:rPr>
                <w:rFonts w:ascii="Arial" w:eastAsia="Arial" w:hAnsi="Arial" w:cs="Arial"/>
                <w:color w:val="1A1A1A"/>
                <w:sz w:val="16"/>
                <w:szCs w:val="16"/>
              </w:rPr>
              <w:t>Establish a component governance framework with security assessment criteria, vulnerability monitoring, licence compliance and an approved component registry.</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62BC3D0" w14:textId="77777777" w:rsidR="00EB47EC" w:rsidRDefault="00000000">
            <w:r>
              <w:rPr>
                <w:rFonts w:ascii="Arial" w:eastAsia="Arial" w:hAnsi="Arial" w:cs="Arial"/>
                <w:color w:val="1A1A1A"/>
                <w:sz w:val="16"/>
                <w:szCs w:val="16"/>
              </w:rPr>
              <w:t>Insufficient supply chain due diligence</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803D79B"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673355E" w14:textId="77777777" w:rsidR="00EB47EC" w:rsidRDefault="00000000">
            <w:r>
              <w:rPr>
                <w:rFonts w:ascii="Arial" w:eastAsia="Arial" w:hAnsi="Arial" w:cs="Arial"/>
                <w:color w:val="1A1A1A"/>
                <w:sz w:val="16"/>
                <w:szCs w:val="16"/>
              </w:rPr>
              <w:t>Low</w:t>
            </w:r>
          </w:p>
        </w:tc>
      </w:tr>
      <w:tr w:rsidR="00EB47EC" w14:paraId="6738D3E9"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C41F4A2" w14:textId="77777777" w:rsidR="00EB47EC" w:rsidRDefault="00000000">
            <w:pPr>
              <w:jc w:val="center"/>
            </w:pPr>
            <w:r>
              <w:rPr>
                <w:rFonts w:ascii="Arial" w:eastAsia="Arial" w:hAnsi="Arial" w:cs="Arial"/>
                <w:sz w:val="18"/>
                <w:szCs w:val="18"/>
              </w:rPr>
              <w:t>17</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952D82C" w14:textId="77777777" w:rsidR="00EB47EC" w:rsidRDefault="00000000">
            <w:r>
              <w:rPr>
                <w:rFonts w:ascii="Arial" w:eastAsia="Arial" w:hAnsi="Arial" w:cs="Arial"/>
                <w:b/>
                <w:bCs/>
                <w:color w:val="1A1A1A"/>
                <w:sz w:val="16"/>
                <w:szCs w:val="16"/>
              </w:rPr>
              <w:t>Implement continuous dependency vulnerability monitoring</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A3BEA6C" w14:textId="77777777" w:rsidR="00EB47EC" w:rsidRDefault="00000000">
            <w:r>
              <w:rPr>
                <w:rFonts w:ascii="Arial" w:eastAsia="Arial" w:hAnsi="Arial" w:cs="Arial"/>
                <w:color w:val="1A1A1A"/>
                <w:sz w:val="16"/>
                <w:szCs w:val="16"/>
              </w:rPr>
              <w:t>Deploy continuous vulnerability monitoring integrated with SBOM data. Set alerting thresholds by severity and define response procedures.</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79D144B" w14:textId="77777777" w:rsidR="00EB47EC" w:rsidRDefault="00000000">
            <w:r>
              <w:rPr>
                <w:rFonts w:ascii="Arial" w:eastAsia="Arial" w:hAnsi="Arial" w:cs="Arial"/>
                <w:color w:val="1A1A1A"/>
                <w:sz w:val="16"/>
                <w:szCs w:val="16"/>
              </w:rPr>
              <w:t>No continuous component vulnerability monitoring</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02039AB"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F512657" w14:textId="77777777" w:rsidR="00EB47EC" w:rsidRDefault="00000000">
            <w:r>
              <w:rPr>
                <w:rFonts w:ascii="Arial" w:eastAsia="Arial" w:hAnsi="Arial" w:cs="Arial"/>
                <w:color w:val="1A1A1A"/>
                <w:sz w:val="16"/>
                <w:szCs w:val="16"/>
              </w:rPr>
              <w:t>Low</w:t>
            </w:r>
          </w:p>
        </w:tc>
      </w:tr>
      <w:tr w:rsidR="00EB47EC" w14:paraId="45D250B1"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A2678AD" w14:textId="77777777" w:rsidR="00EB47EC" w:rsidRDefault="00000000">
            <w:pPr>
              <w:jc w:val="center"/>
            </w:pPr>
            <w:r>
              <w:rPr>
                <w:rFonts w:ascii="Arial" w:eastAsia="Arial" w:hAnsi="Arial" w:cs="Arial"/>
                <w:sz w:val="18"/>
                <w:szCs w:val="18"/>
              </w:rPr>
              <w:t>18</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0F02EF6" w14:textId="77777777" w:rsidR="00EB47EC" w:rsidRDefault="00000000">
            <w:r>
              <w:rPr>
                <w:rFonts w:ascii="Arial" w:eastAsia="Arial" w:hAnsi="Arial" w:cs="Arial"/>
                <w:b/>
                <w:bCs/>
                <w:color w:val="1A1A1A"/>
                <w:sz w:val="16"/>
                <w:szCs w:val="16"/>
              </w:rPr>
              <w:t>Establish secure data erasure and portability requirements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94649FE" w14:textId="77777777" w:rsidR="00EB47EC" w:rsidRDefault="00000000">
            <w:r>
              <w:rPr>
                <w:rFonts w:ascii="Arial" w:eastAsia="Arial" w:hAnsi="Arial" w:cs="Arial"/>
                <w:color w:val="1A1A1A"/>
                <w:sz w:val="16"/>
                <w:szCs w:val="16"/>
              </w:rPr>
              <w:t>Require secure data erasure and factory reset capability across all products. Verify data removal during security testing.</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89158B6" w14:textId="77777777" w:rsidR="00EB47EC" w:rsidRDefault="00000000">
            <w:r>
              <w:rPr>
                <w:rFonts w:ascii="Arial" w:eastAsia="Arial" w:hAnsi="Arial" w:cs="Arial"/>
                <w:color w:val="1A1A1A"/>
                <w:sz w:val="16"/>
                <w:szCs w:val="16"/>
              </w:rPr>
              <w:t>No secure data removal or portability standards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B050F61"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C2BC285" w14:textId="77777777" w:rsidR="00EB47EC" w:rsidRDefault="00000000">
            <w:r>
              <w:rPr>
                <w:rFonts w:ascii="Arial" w:eastAsia="Arial" w:hAnsi="Arial" w:cs="Arial"/>
                <w:color w:val="1A1A1A"/>
                <w:sz w:val="16"/>
                <w:szCs w:val="16"/>
              </w:rPr>
              <w:t>Low</w:t>
            </w:r>
          </w:p>
        </w:tc>
      </w:tr>
      <w:tr w:rsidR="00EB47EC" w14:paraId="547AFDC5"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06E711D" w14:textId="77777777" w:rsidR="00EB47EC" w:rsidRDefault="00000000">
            <w:pPr>
              <w:jc w:val="center"/>
            </w:pPr>
            <w:r>
              <w:rPr>
                <w:rFonts w:ascii="Arial" w:eastAsia="Arial" w:hAnsi="Arial" w:cs="Arial"/>
                <w:sz w:val="18"/>
                <w:szCs w:val="18"/>
              </w:rPr>
              <w:t>19</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7F64512" w14:textId="77777777" w:rsidR="00EB47EC" w:rsidRDefault="00000000">
            <w:r>
              <w:rPr>
                <w:rFonts w:ascii="Arial" w:eastAsia="Arial" w:hAnsi="Arial" w:cs="Arial"/>
                <w:b/>
                <w:bCs/>
                <w:color w:val="1A1A1A"/>
                <w:sz w:val="16"/>
                <w:szCs w:val="16"/>
              </w:rPr>
              <w:t>Implement network interface and service minimisation requirements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DC48DB7" w14:textId="77777777" w:rsidR="00EB47EC" w:rsidRDefault="00000000">
            <w:r>
              <w:rPr>
                <w:rFonts w:ascii="Arial" w:eastAsia="Arial" w:hAnsi="Arial" w:cs="Arial"/>
                <w:color w:val="1A1A1A"/>
                <w:sz w:val="16"/>
                <w:szCs w:val="16"/>
              </w:rPr>
              <w:t>Require only necessary interfaces, ports and services enabled by default. Mandate attack surface review and documented justification during development.</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87D9EF0" w14:textId="77777777" w:rsidR="00EB47EC" w:rsidRDefault="00000000">
            <w:r>
              <w:rPr>
                <w:rFonts w:ascii="Arial" w:eastAsia="Arial" w:hAnsi="Arial" w:cs="Arial"/>
                <w:color w:val="1A1A1A"/>
                <w:sz w:val="16"/>
                <w:szCs w:val="16"/>
              </w:rPr>
              <w:t>No default service minimisation standards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64747E2"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79D9C1E" w14:textId="77777777" w:rsidR="00EB47EC" w:rsidRDefault="00000000">
            <w:r>
              <w:rPr>
                <w:rFonts w:ascii="Arial" w:eastAsia="Arial" w:hAnsi="Arial" w:cs="Arial"/>
                <w:color w:val="1A1A1A"/>
                <w:sz w:val="16"/>
                <w:szCs w:val="16"/>
              </w:rPr>
              <w:t>Low</w:t>
            </w:r>
          </w:p>
        </w:tc>
      </w:tr>
      <w:tr w:rsidR="00EB47EC" w14:paraId="1D4C1210"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D66445D" w14:textId="77777777" w:rsidR="00EB47EC" w:rsidRDefault="00000000">
            <w:pPr>
              <w:jc w:val="center"/>
            </w:pPr>
            <w:r>
              <w:rPr>
                <w:rFonts w:ascii="Arial" w:eastAsia="Arial" w:hAnsi="Arial" w:cs="Arial"/>
                <w:sz w:val="18"/>
                <w:szCs w:val="18"/>
              </w:rPr>
              <w:t>20</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7595670" w14:textId="77777777" w:rsidR="00EB47EC" w:rsidRDefault="00000000">
            <w:r>
              <w:rPr>
                <w:rFonts w:ascii="Arial" w:eastAsia="Arial" w:hAnsi="Arial" w:cs="Arial"/>
                <w:b/>
                <w:bCs/>
                <w:color w:val="1A1A1A"/>
                <w:sz w:val="16"/>
                <w:szCs w:val="16"/>
              </w:rPr>
              <w:t>Develop a standardised product risk assessment methodology</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955D870" w14:textId="77777777" w:rsidR="00EB47EC" w:rsidRDefault="00000000">
            <w:r>
              <w:rPr>
                <w:rFonts w:ascii="Arial" w:eastAsia="Arial" w:hAnsi="Arial" w:cs="Arial"/>
                <w:color w:val="1A1A1A"/>
                <w:sz w:val="16"/>
                <w:szCs w:val="16"/>
              </w:rPr>
              <w:t>Develop a standardised risk assessment methodology covering intended use, foreseeable misuse, threat landscape and vulnerability impact with lifecycle review requirements.</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D5CFAAE" w14:textId="77777777" w:rsidR="00EB47EC" w:rsidRDefault="00000000">
            <w:r>
              <w:rPr>
                <w:rFonts w:ascii="Arial" w:eastAsia="Arial" w:hAnsi="Arial" w:cs="Arial"/>
                <w:color w:val="1A1A1A"/>
                <w:sz w:val="16"/>
                <w:szCs w:val="16"/>
              </w:rPr>
              <w:t>No product cybersecurity risk assessment methodology</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309D5AD"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B574057" w14:textId="77777777" w:rsidR="00EB47EC" w:rsidRDefault="00000000">
            <w:r>
              <w:rPr>
                <w:rFonts w:ascii="Arial" w:eastAsia="Arial" w:hAnsi="Arial" w:cs="Arial"/>
                <w:color w:val="1A1A1A"/>
                <w:sz w:val="16"/>
                <w:szCs w:val="16"/>
              </w:rPr>
              <w:t>Medium</w:t>
            </w:r>
          </w:p>
        </w:tc>
      </w:tr>
      <w:tr w:rsidR="00EB47EC" w14:paraId="23310E7E"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A5DBC18" w14:textId="77777777" w:rsidR="00EB47EC" w:rsidRDefault="00000000">
            <w:pPr>
              <w:jc w:val="center"/>
            </w:pPr>
            <w:r>
              <w:rPr>
                <w:rFonts w:ascii="Arial" w:eastAsia="Arial" w:hAnsi="Arial" w:cs="Arial"/>
                <w:sz w:val="18"/>
                <w:szCs w:val="18"/>
              </w:rPr>
              <w:t>21</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90594BF" w14:textId="77777777" w:rsidR="00EB47EC" w:rsidRDefault="00000000">
            <w:r>
              <w:rPr>
                <w:rFonts w:ascii="Arial" w:eastAsia="Arial" w:hAnsi="Arial" w:cs="Arial"/>
                <w:b/>
                <w:bCs/>
                <w:color w:val="1A1A1A"/>
                <w:sz w:val="16"/>
                <w:szCs w:val="16"/>
              </w:rPr>
              <w:t>Build rapid patch development and distribution infrastructure with auto-update and update separation</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6284DC8" w14:textId="77777777" w:rsidR="00EB47EC" w:rsidRDefault="00000000">
            <w:r>
              <w:rPr>
                <w:rFonts w:ascii="Arial" w:eastAsia="Arial" w:hAnsi="Arial" w:cs="Arial"/>
                <w:color w:val="1A1A1A"/>
                <w:sz w:val="16"/>
                <w:szCs w:val="16"/>
              </w:rPr>
              <w:t>Establish a patch development and distribution capability with severity-based SLAs and automatic security updates enabled by default with opt-out options.</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33CEF2A" w14:textId="77777777" w:rsidR="00EB47EC" w:rsidRDefault="00000000">
            <w:r>
              <w:rPr>
                <w:rFonts w:ascii="Arial" w:eastAsia="Arial" w:hAnsi="Arial" w:cs="Arial"/>
                <w:color w:val="1A1A1A"/>
                <w:sz w:val="16"/>
                <w:szCs w:val="16"/>
              </w:rPr>
              <w:t>Inadequate security update capability</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3AFDB53"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C7DDA6B" w14:textId="77777777" w:rsidR="00EB47EC" w:rsidRDefault="00000000">
            <w:r>
              <w:rPr>
                <w:rFonts w:ascii="Arial" w:eastAsia="Arial" w:hAnsi="Arial" w:cs="Arial"/>
                <w:color w:val="1A1A1A"/>
                <w:sz w:val="16"/>
                <w:szCs w:val="16"/>
              </w:rPr>
              <w:t>High</w:t>
            </w:r>
          </w:p>
        </w:tc>
      </w:tr>
      <w:tr w:rsidR="00EB47EC" w14:paraId="109249ED"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C05C686" w14:textId="77777777" w:rsidR="00EB47EC" w:rsidRDefault="00000000">
            <w:pPr>
              <w:jc w:val="center"/>
            </w:pPr>
            <w:r>
              <w:rPr>
                <w:rFonts w:ascii="Arial" w:eastAsia="Arial" w:hAnsi="Arial" w:cs="Arial"/>
                <w:sz w:val="18"/>
                <w:szCs w:val="18"/>
              </w:rPr>
              <w:lastRenderedPageBreak/>
              <w:t>22</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49DD8D8" w14:textId="77777777" w:rsidR="00EB47EC" w:rsidRDefault="00000000">
            <w:r>
              <w:rPr>
                <w:rFonts w:ascii="Arial" w:eastAsia="Arial" w:hAnsi="Arial" w:cs="Arial"/>
                <w:b/>
                <w:bCs/>
                <w:color w:val="1A1A1A"/>
                <w:sz w:val="16"/>
                <w:szCs w:val="16"/>
              </w:rPr>
              <w:t>Implement lifecycle security testing across the product portfolio</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694D253" w14:textId="77777777" w:rsidR="00EB47EC" w:rsidRDefault="00000000">
            <w:r>
              <w:rPr>
                <w:rFonts w:ascii="Arial" w:eastAsia="Arial" w:hAnsi="Arial" w:cs="Arial"/>
                <w:color w:val="1A1A1A"/>
                <w:sz w:val="16"/>
                <w:szCs w:val="16"/>
              </w:rPr>
              <w:t>Establish an ongoing security testing programme including penetration testing, vulnerability scanning and regression testing, with frequency set by product risk.</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6559DBB" w14:textId="77777777" w:rsidR="00EB47EC" w:rsidRDefault="00000000">
            <w:r>
              <w:rPr>
                <w:rFonts w:ascii="Arial" w:eastAsia="Arial" w:hAnsi="Arial" w:cs="Arial"/>
                <w:color w:val="1A1A1A"/>
                <w:sz w:val="16"/>
                <w:szCs w:val="16"/>
              </w:rPr>
              <w:t>No ongoing security testing programme</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D90F822" w14:textId="77777777" w:rsidR="00EB47EC" w:rsidRDefault="00000000">
            <w:r>
              <w:rPr>
                <w:rFonts w:ascii="Arial" w:eastAsia="Arial" w:hAnsi="Arial" w:cs="Arial"/>
                <w:color w:val="1A1A1A"/>
                <w:sz w:val="16"/>
                <w:szCs w:val="16"/>
              </w:rPr>
              <w:t>Medium</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D8C0B17" w14:textId="77777777" w:rsidR="00EB47EC" w:rsidRDefault="00000000">
            <w:r>
              <w:rPr>
                <w:rFonts w:ascii="Arial" w:eastAsia="Arial" w:hAnsi="Arial" w:cs="Arial"/>
                <w:color w:val="1A1A1A"/>
                <w:sz w:val="16"/>
                <w:szCs w:val="16"/>
              </w:rPr>
              <w:t>High</w:t>
            </w:r>
          </w:p>
        </w:tc>
      </w:tr>
      <w:tr w:rsidR="00EB47EC" w14:paraId="7A1A4AD0"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72AB109" w14:textId="77777777" w:rsidR="00EB47EC" w:rsidRDefault="00000000">
            <w:pPr>
              <w:jc w:val="center"/>
            </w:pPr>
            <w:r>
              <w:rPr>
                <w:rFonts w:ascii="Arial" w:eastAsia="Arial" w:hAnsi="Arial" w:cs="Arial"/>
                <w:sz w:val="18"/>
                <w:szCs w:val="18"/>
              </w:rPr>
              <w:t>23</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BD678FE" w14:textId="77777777" w:rsidR="00EB47EC" w:rsidRDefault="00000000">
            <w:r>
              <w:rPr>
                <w:rFonts w:ascii="Arial" w:eastAsia="Arial" w:hAnsi="Arial" w:cs="Arial"/>
                <w:b/>
                <w:bCs/>
                <w:color w:val="1A1A1A"/>
                <w:sz w:val="16"/>
                <w:szCs w:val="16"/>
              </w:rPr>
              <w:t>Develop and implement a comprehensive post-market surveillance plan per Article 15</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DEC7022" w14:textId="77777777" w:rsidR="00EB47EC" w:rsidRDefault="00000000">
            <w:r>
              <w:rPr>
                <w:rFonts w:ascii="Arial" w:eastAsia="Arial" w:hAnsi="Arial" w:cs="Arial"/>
                <w:color w:val="1A1A1A"/>
                <w:sz w:val="16"/>
                <w:szCs w:val="16"/>
              </w:rPr>
              <w:t>Develop a post-market surveillance plan with continuous vulnerability monitoring, threat intelligence, periodic reviews and defined corrective action triggers.</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296833F" w14:textId="77777777" w:rsidR="00EB47EC" w:rsidRDefault="00000000">
            <w:r>
              <w:rPr>
                <w:rFonts w:ascii="Arial" w:eastAsia="Arial" w:hAnsi="Arial" w:cs="Arial"/>
                <w:color w:val="1A1A1A"/>
                <w:sz w:val="16"/>
                <w:szCs w:val="16"/>
              </w:rPr>
              <w:t>No formal post-market surveillance plan covering continuous monitoring, threat intelligence and corrective action triggers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335D8E3" w14:textId="77777777" w:rsidR="00EB47EC" w:rsidRDefault="00000000">
            <w:r>
              <w:rPr>
                <w:rFonts w:ascii="Arial" w:eastAsia="Arial" w:hAnsi="Arial" w:cs="Arial"/>
                <w:color w:val="1A1A1A"/>
                <w:sz w:val="16"/>
                <w:szCs w:val="16"/>
              </w:rPr>
              <w:t>Low</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3CE3D80" w14:textId="77777777" w:rsidR="00EB47EC" w:rsidRDefault="00000000">
            <w:r>
              <w:rPr>
                <w:rFonts w:ascii="Arial" w:eastAsia="Arial" w:hAnsi="Arial" w:cs="Arial"/>
                <w:color w:val="1A1A1A"/>
                <w:sz w:val="16"/>
                <w:szCs w:val="16"/>
              </w:rPr>
              <w:t>Low</w:t>
            </w:r>
          </w:p>
        </w:tc>
      </w:tr>
      <w:tr w:rsidR="00EB47EC" w14:paraId="7D12B8D4"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DB4FC4E" w14:textId="77777777" w:rsidR="00EB47EC" w:rsidRDefault="00000000">
            <w:pPr>
              <w:jc w:val="center"/>
            </w:pPr>
            <w:r>
              <w:rPr>
                <w:rFonts w:ascii="Arial" w:eastAsia="Arial" w:hAnsi="Arial" w:cs="Arial"/>
                <w:sz w:val="18"/>
                <w:szCs w:val="18"/>
              </w:rPr>
              <w:t>24</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3402803" w14:textId="77777777" w:rsidR="00EB47EC" w:rsidRDefault="00000000">
            <w:r>
              <w:rPr>
                <w:rFonts w:ascii="Arial" w:eastAsia="Arial" w:hAnsi="Arial" w:cs="Arial"/>
                <w:b/>
                <w:bCs/>
                <w:color w:val="1A1A1A"/>
                <w:sz w:val="16"/>
                <w:szCs w:val="16"/>
              </w:rPr>
              <w:t>Establish support period policy and communication requirements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4BAF3D" w14:textId="77777777" w:rsidR="00EB47EC" w:rsidRDefault="00000000">
            <w:r>
              <w:rPr>
                <w:rFonts w:ascii="Arial" w:eastAsia="Arial" w:hAnsi="Arial" w:cs="Arial"/>
                <w:color w:val="1A1A1A"/>
                <w:sz w:val="16"/>
                <w:szCs w:val="16"/>
              </w:rPr>
              <w:t>Define support periods for each product (minimum 5 years or expected lifetime). Communicate clearly before purchase and establish end-of-support transition procedures.</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58EA130" w14:textId="77777777" w:rsidR="00EB47EC" w:rsidRDefault="00000000">
            <w:r>
              <w:rPr>
                <w:rFonts w:ascii="Arial" w:eastAsia="Arial" w:hAnsi="Arial" w:cs="Arial"/>
                <w:color w:val="1A1A1A"/>
                <w:sz w:val="16"/>
                <w:szCs w:val="16"/>
              </w:rPr>
              <w:t>No support period policy</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BCA79BD" w14:textId="77777777" w:rsidR="00EB47EC" w:rsidRDefault="00000000">
            <w:r>
              <w:rPr>
                <w:rFonts w:ascii="Arial" w:eastAsia="Arial" w:hAnsi="Arial" w:cs="Arial"/>
                <w:color w:val="1A1A1A"/>
                <w:sz w:val="16"/>
                <w:szCs w:val="16"/>
              </w:rPr>
              <w:t>Low</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1AD368E" w14:textId="77777777" w:rsidR="00EB47EC" w:rsidRDefault="00000000">
            <w:r>
              <w:rPr>
                <w:rFonts w:ascii="Arial" w:eastAsia="Arial" w:hAnsi="Arial" w:cs="Arial"/>
                <w:color w:val="1A1A1A"/>
                <w:sz w:val="16"/>
                <w:szCs w:val="16"/>
              </w:rPr>
              <w:t>Low</w:t>
            </w:r>
          </w:p>
        </w:tc>
      </w:tr>
      <w:tr w:rsidR="00EB47EC" w14:paraId="43A9131D"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24995A6" w14:textId="77777777" w:rsidR="00EB47EC" w:rsidRDefault="00000000">
            <w:pPr>
              <w:jc w:val="center"/>
            </w:pPr>
            <w:r>
              <w:rPr>
                <w:rFonts w:ascii="Arial" w:eastAsia="Arial" w:hAnsi="Arial" w:cs="Arial"/>
                <w:sz w:val="18"/>
                <w:szCs w:val="18"/>
              </w:rPr>
              <w:t>25</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BFEEC13" w14:textId="77777777" w:rsidR="00EB47EC" w:rsidRDefault="00000000">
            <w:r>
              <w:rPr>
                <w:rFonts w:ascii="Arial" w:eastAsia="Arial" w:hAnsi="Arial" w:cs="Arial"/>
                <w:b/>
                <w:bCs/>
                <w:color w:val="1A1A1A"/>
                <w:sz w:val="16"/>
                <w:szCs w:val="16"/>
              </w:rPr>
              <w:t>Establish CRA-compliant product identification and labelling requirements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DB38EE3" w14:textId="77777777" w:rsidR="00EB47EC" w:rsidRDefault="00000000">
            <w:r>
              <w:rPr>
                <w:rFonts w:ascii="Arial" w:eastAsia="Arial" w:hAnsi="Arial" w:cs="Arial"/>
                <w:color w:val="1A1A1A"/>
                <w:sz w:val="16"/>
                <w:szCs w:val="16"/>
              </w:rPr>
              <w:t>Define product identification standards including type, batch/serial numbers and manufacturer contact details. Integrate labelling verification into pre-release checks.</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C7D6937" w14:textId="77777777" w:rsidR="00EB47EC" w:rsidRDefault="00000000">
            <w:r>
              <w:rPr>
                <w:rFonts w:ascii="Arial" w:eastAsia="Arial" w:hAnsi="Arial" w:cs="Arial"/>
                <w:color w:val="1A1A1A"/>
                <w:sz w:val="16"/>
                <w:szCs w:val="16"/>
              </w:rPr>
              <w:t>No product identification and labelling standards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23A3926" w14:textId="77777777" w:rsidR="00EB47EC" w:rsidRDefault="00000000">
            <w:r>
              <w:rPr>
                <w:rFonts w:ascii="Arial" w:eastAsia="Arial" w:hAnsi="Arial" w:cs="Arial"/>
                <w:color w:val="1A1A1A"/>
                <w:sz w:val="16"/>
                <w:szCs w:val="16"/>
              </w:rPr>
              <w:t>Low</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EAF3C4D" w14:textId="77777777" w:rsidR="00EB47EC" w:rsidRDefault="00000000">
            <w:r>
              <w:rPr>
                <w:rFonts w:ascii="Arial" w:eastAsia="Arial" w:hAnsi="Arial" w:cs="Arial"/>
                <w:color w:val="1A1A1A"/>
                <w:sz w:val="16"/>
                <w:szCs w:val="16"/>
              </w:rPr>
              <w:t>Low</w:t>
            </w:r>
          </w:p>
        </w:tc>
      </w:tr>
      <w:tr w:rsidR="00EB47EC" w14:paraId="081E93EC"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84F21C4" w14:textId="77777777" w:rsidR="00EB47EC" w:rsidRDefault="00000000">
            <w:pPr>
              <w:jc w:val="center"/>
            </w:pPr>
            <w:r>
              <w:rPr>
                <w:rFonts w:ascii="Arial" w:eastAsia="Arial" w:hAnsi="Arial" w:cs="Arial"/>
                <w:sz w:val="18"/>
                <w:szCs w:val="18"/>
              </w:rPr>
              <w:t>26</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ECF3B11" w14:textId="77777777" w:rsidR="00EB47EC" w:rsidRDefault="00000000">
            <w:r>
              <w:rPr>
                <w:rFonts w:ascii="Arial" w:eastAsia="Arial" w:hAnsi="Arial" w:cs="Arial"/>
                <w:b/>
                <w:bCs/>
                <w:color w:val="1A1A1A"/>
                <w:sz w:val="16"/>
                <w:szCs w:val="16"/>
              </w:rPr>
              <w:t>Establish and publish a single point of contact for vulnerability reporting</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F19AD02" w14:textId="77777777" w:rsidR="00EB47EC" w:rsidRDefault="00000000">
            <w:r>
              <w:rPr>
                <w:rFonts w:ascii="Arial" w:eastAsia="Arial" w:hAnsi="Arial" w:cs="Arial"/>
                <w:color w:val="1A1A1A"/>
                <w:sz w:val="16"/>
                <w:szCs w:val="16"/>
              </w:rPr>
              <w:t>Publish a single vulnerability reporting contact (e.g. security.txt) referenced in product documentation, packaging and the corporate website.</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70ED12F" w14:textId="77777777" w:rsidR="00EB47EC" w:rsidRDefault="00000000">
            <w:r>
              <w:rPr>
                <w:rFonts w:ascii="Arial" w:eastAsia="Arial" w:hAnsi="Arial" w:cs="Arial"/>
                <w:color w:val="1A1A1A"/>
                <w:sz w:val="16"/>
                <w:szCs w:val="16"/>
              </w:rPr>
              <w:t>No published vulnerability reporting contact</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E7BDF67" w14:textId="77777777" w:rsidR="00EB47EC" w:rsidRDefault="00000000">
            <w:r>
              <w:rPr>
                <w:rFonts w:ascii="Arial" w:eastAsia="Arial" w:hAnsi="Arial" w:cs="Arial"/>
                <w:color w:val="1A1A1A"/>
                <w:sz w:val="16"/>
                <w:szCs w:val="16"/>
              </w:rPr>
              <w:t>Low</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1363867" w14:textId="77777777" w:rsidR="00EB47EC" w:rsidRDefault="00000000">
            <w:r>
              <w:rPr>
                <w:rFonts w:ascii="Arial" w:eastAsia="Arial" w:hAnsi="Arial" w:cs="Arial"/>
                <w:color w:val="1A1A1A"/>
                <w:sz w:val="16"/>
                <w:szCs w:val="16"/>
              </w:rPr>
              <w:t>Low</w:t>
            </w:r>
          </w:p>
        </w:tc>
      </w:tr>
      <w:tr w:rsidR="00EB47EC" w14:paraId="7A508981"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81D89AC" w14:textId="77777777" w:rsidR="00EB47EC" w:rsidRDefault="00000000">
            <w:pPr>
              <w:jc w:val="center"/>
            </w:pPr>
            <w:r>
              <w:rPr>
                <w:rFonts w:ascii="Arial" w:eastAsia="Arial" w:hAnsi="Arial" w:cs="Arial"/>
                <w:sz w:val="18"/>
                <w:szCs w:val="18"/>
              </w:rPr>
              <w:t>27</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0374328" w14:textId="77777777" w:rsidR="00EB47EC" w:rsidRDefault="00000000">
            <w:r>
              <w:rPr>
                <w:rFonts w:ascii="Arial" w:eastAsia="Arial" w:hAnsi="Arial" w:cs="Arial"/>
                <w:b/>
                <w:bCs/>
                <w:color w:val="1A1A1A"/>
                <w:sz w:val="16"/>
                <w:szCs w:val="16"/>
              </w:rPr>
              <w:t>Establish SBOM disclosure procedures for users and market surveillance authorities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3182DCD" w14:textId="77777777" w:rsidR="00EB47EC" w:rsidRDefault="00000000">
            <w:r>
              <w:rPr>
                <w:rFonts w:ascii="Arial" w:eastAsia="Arial" w:hAnsi="Arial" w:cs="Arial"/>
                <w:color w:val="1A1A1A"/>
                <w:sz w:val="16"/>
                <w:szCs w:val="16"/>
              </w:rPr>
              <w:t>Develop SBOM disclosure procedures with a request mechanism for users and authorities. Maintain SBOMs in CycloneDX or SPDX format, updated per release.</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1A1C3E6" w14:textId="77777777" w:rsidR="00EB47EC" w:rsidRDefault="00000000">
            <w:r>
              <w:rPr>
                <w:rFonts w:ascii="Arial" w:eastAsia="Arial" w:hAnsi="Arial" w:cs="Arial"/>
                <w:color w:val="1A1A1A"/>
                <w:sz w:val="16"/>
                <w:szCs w:val="16"/>
              </w:rPr>
              <w:t>No SBOM disclosure process for users and authorities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5E531C2" w14:textId="77777777" w:rsidR="00EB47EC" w:rsidRDefault="00000000">
            <w:r>
              <w:rPr>
                <w:rFonts w:ascii="Arial" w:eastAsia="Arial" w:hAnsi="Arial" w:cs="Arial"/>
                <w:color w:val="1A1A1A"/>
                <w:sz w:val="16"/>
                <w:szCs w:val="16"/>
              </w:rPr>
              <w:t>Low</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4B2CC33" w14:textId="77777777" w:rsidR="00EB47EC" w:rsidRDefault="00000000">
            <w:r>
              <w:rPr>
                <w:rFonts w:ascii="Arial" w:eastAsia="Arial" w:hAnsi="Arial" w:cs="Arial"/>
                <w:color w:val="1A1A1A"/>
                <w:sz w:val="16"/>
                <w:szCs w:val="16"/>
              </w:rPr>
              <w:t>Low</w:t>
            </w:r>
          </w:p>
        </w:tc>
      </w:tr>
      <w:tr w:rsidR="00EB47EC" w14:paraId="4702B1CA"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EB816EA" w14:textId="77777777" w:rsidR="00EB47EC" w:rsidRDefault="00000000">
            <w:pPr>
              <w:jc w:val="center"/>
            </w:pPr>
            <w:r>
              <w:rPr>
                <w:rFonts w:ascii="Arial" w:eastAsia="Arial" w:hAnsi="Arial" w:cs="Arial"/>
                <w:sz w:val="18"/>
                <w:szCs w:val="18"/>
              </w:rPr>
              <w:t>28</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754155A" w14:textId="77777777" w:rsidR="00EB47EC" w:rsidRDefault="00000000">
            <w:r>
              <w:rPr>
                <w:rFonts w:ascii="Arial" w:eastAsia="Arial" w:hAnsi="Arial" w:cs="Arial"/>
                <w:b/>
                <w:bCs/>
                <w:color w:val="1A1A1A"/>
                <w:sz w:val="16"/>
                <w:szCs w:val="16"/>
              </w:rPr>
              <w:t>Develop standardised user security documentation requirements covering all Annex II points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FC411C2" w14:textId="77777777" w:rsidR="00EB47EC" w:rsidRDefault="00000000">
            <w:r>
              <w:rPr>
                <w:rFonts w:ascii="Arial" w:eastAsia="Arial" w:hAnsi="Arial" w:cs="Arial"/>
                <w:color w:val="1A1A1A"/>
                <w:sz w:val="16"/>
                <w:szCs w:val="16"/>
              </w:rPr>
              <w:t>Create Annex II documentation templates covering intended purpose, secure installation, support period, update procedures, misuse risks, vulnerability contact and SBOM availability.</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EA2740" w14:textId="77777777" w:rsidR="00EB47EC" w:rsidRDefault="00000000">
            <w:r>
              <w:rPr>
                <w:rFonts w:ascii="Arial" w:eastAsia="Arial" w:hAnsi="Arial" w:cs="Arial"/>
                <w:color w:val="1A1A1A"/>
                <w:sz w:val="16"/>
                <w:szCs w:val="16"/>
              </w:rPr>
              <w:t>No user information standards aligned to Annex II</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4F0B21E" w14:textId="77777777" w:rsidR="00EB47EC" w:rsidRDefault="00000000">
            <w:r>
              <w:rPr>
                <w:rFonts w:ascii="Arial" w:eastAsia="Arial" w:hAnsi="Arial" w:cs="Arial"/>
                <w:color w:val="1A1A1A"/>
                <w:sz w:val="16"/>
                <w:szCs w:val="16"/>
              </w:rPr>
              <w:t>Low</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0EE0A02" w14:textId="77777777" w:rsidR="00EB47EC" w:rsidRDefault="00000000">
            <w:r>
              <w:rPr>
                <w:rFonts w:ascii="Arial" w:eastAsia="Arial" w:hAnsi="Arial" w:cs="Arial"/>
                <w:color w:val="1A1A1A"/>
                <w:sz w:val="16"/>
                <w:szCs w:val="16"/>
              </w:rPr>
              <w:t>Low</w:t>
            </w:r>
          </w:p>
        </w:tc>
      </w:tr>
      <w:tr w:rsidR="00EB47EC" w14:paraId="2D10045D"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D6B5BAA" w14:textId="77777777" w:rsidR="00EB47EC" w:rsidRDefault="00000000">
            <w:pPr>
              <w:jc w:val="center"/>
            </w:pPr>
            <w:r>
              <w:rPr>
                <w:rFonts w:ascii="Arial" w:eastAsia="Arial" w:hAnsi="Arial" w:cs="Arial"/>
                <w:sz w:val="18"/>
                <w:szCs w:val="18"/>
              </w:rPr>
              <w:t>29</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AA8606D" w14:textId="77777777" w:rsidR="00EB47EC" w:rsidRDefault="00000000">
            <w:r>
              <w:rPr>
                <w:rFonts w:ascii="Arial" w:eastAsia="Arial" w:hAnsi="Arial" w:cs="Arial"/>
                <w:b/>
                <w:bCs/>
                <w:color w:val="1A1A1A"/>
                <w:sz w:val="16"/>
                <w:szCs w:val="16"/>
              </w:rPr>
              <w:t>Implement foreseeable misuse risk identification and user disclosure</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887FD02" w14:textId="77777777" w:rsidR="00EB47EC" w:rsidRDefault="00000000">
            <w:r>
              <w:rPr>
                <w:rFonts w:ascii="Arial" w:eastAsia="Arial" w:hAnsi="Arial" w:cs="Arial"/>
                <w:color w:val="1A1A1A"/>
                <w:sz w:val="16"/>
                <w:szCs w:val="16"/>
              </w:rPr>
              <w:t>Integrate foreseeable misuse scenarios into product risk assessments. Document in user materials per Annex II and review periodically.</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401ED2D" w14:textId="77777777" w:rsidR="00EB47EC" w:rsidRDefault="00000000">
            <w:r>
              <w:rPr>
                <w:rFonts w:ascii="Arial" w:eastAsia="Arial" w:hAnsi="Arial" w:cs="Arial"/>
                <w:color w:val="1A1A1A"/>
                <w:sz w:val="16"/>
                <w:szCs w:val="16"/>
              </w:rPr>
              <w:t>No foreseeable misuse risk disclosure process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8F49AB5" w14:textId="77777777" w:rsidR="00EB47EC" w:rsidRDefault="00000000">
            <w:r>
              <w:rPr>
                <w:rFonts w:ascii="Arial" w:eastAsia="Arial" w:hAnsi="Arial" w:cs="Arial"/>
                <w:color w:val="1A1A1A"/>
                <w:sz w:val="16"/>
                <w:szCs w:val="16"/>
              </w:rPr>
              <w:t>Low</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ADFF6E8" w14:textId="77777777" w:rsidR="00EB47EC" w:rsidRDefault="00000000">
            <w:r>
              <w:rPr>
                <w:rFonts w:ascii="Arial" w:eastAsia="Arial" w:hAnsi="Arial" w:cs="Arial"/>
                <w:color w:val="1A1A1A"/>
                <w:sz w:val="16"/>
                <w:szCs w:val="16"/>
              </w:rPr>
              <w:t>Low</w:t>
            </w:r>
          </w:p>
        </w:tc>
      </w:tr>
      <w:tr w:rsidR="00EB47EC" w14:paraId="3D5E7AA5"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A8434C8" w14:textId="77777777" w:rsidR="00EB47EC" w:rsidRDefault="00000000">
            <w:pPr>
              <w:jc w:val="center"/>
            </w:pPr>
            <w:r>
              <w:rPr>
                <w:rFonts w:ascii="Arial" w:eastAsia="Arial" w:hAnsi="Arial" w:cs="Arial"/>
                <w:sz w:val="18"/>
                <w:szCs w:val="18"/>
              </w:rPr>
              <w:t>30</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CE9C40F" w14:textId="77777777" w:rsidR="00EB47EC" w:rsidRDefault="00000000">
            <w:r>
              <w:rPr>
                <w:rFonts w:ascii="Arial" w:eastAsia="Arial" w:hAnsi="Arial" w:cs="Arial"/>
                <w:b/>
                <w:bCs/>
                <w:color w:val="1A1A1A"/>
                <w:sz w:val="16"/>
                <w:szCs w:val="16"/>
              </w:rPr>
              <w:t>Develop security logging and monitoring design standards with user opt-out</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134066" w14:textId="77777777" w:rsidR="00EB47EC" w:rsidRDefault="00000000">
            <w:r>
              <w:rPr>
                <w:rFonts w:ascii="Arial" w:eastAsia="Arial" w:hAnsi="Arial" w:cs="Arial"/>
                <w:color w:val="1A1A1A"/>
                <w:sz w:val="16"/>
                <w:szCs w:val="16"/>
              </w:rPr>
              <w:t>Define security event logging standards covering event types, format, retention, monitoring and log protection. Include a user opt-out mechanism.</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09A77CD" w14:textId="77777777" w:rsidR="00EB47EC" w:rsidRDefault="00000000">
            <w:r>
              <w:rPr>
                <w:rFonts w:ascii="Arial" w:eastAsia="Arial" w:hAnsi="Arial" w:cs="Arial"/>
                <w:color w:val="1A1A1A"/>
                <w:sz w:val="16"/>
                <w:szCs w:val="16"/>
              </w:rPr>
              <w:t>No security logging standards for products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0F2B8C8" w14:textId="77777777" w:rsidR="00EB47EC" w:rsidRDefault="00000000">
            <w:r>
              <w:rPr>
                <w:rFonts w:ascii="Arial" w:eastAsia="Arial" w:hAnsi="Arial" w:cs="Arial"/>
                <w:color w:val="1A1A1A"/>
                <w:sz w:val="16"/>
                <w:szCs w:val="16"/>
              </w:rPr>
              <w:t>Low</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AA7AB2B" w14:textId="77777777" w:rsidR="00EB47EC" w:rsidRDefault="00000000">
            <w:r>
              <w:rPr>
                <w:rFonts w:ascii="Arial" w:eastAsia="Arial" w:hAnsi="Arial" w:cs="Arial"/>
                <w:color w:val="1A1A1A"/>
                <w:sz w:val="16"/>
                <w:szCs w:val="16"/>
              </w:rPr>
              <w:t>Low</w:t>
            </w:r>
          </w:p>
        </w:tc>
      </w:tr>
      <w:tr w:rsidR="00EB47EC" w14:paraId="6A795B1D"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C93E69A" w14:textId="77777777" w:rsidR="00EB47EC" w:rsidRDefault="00000000">
            <w:pPr>
              <w:jc w:val="center"/>
            </w:pPr>
            <w:r>
              <w:rPr>
                <w:rFonts w:ascii="Arial" w:eastAsia="Arial" w:hAnsi="Arial" w:cs="Arial"/>
                <w:sz w:val="18"/>
                <w:szCs w:val="18"/>
              </w:rPr>
              <w:t>31</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10299E9" w14:textId="77777777" w:rsidR="00EB47EC" w:rsidRDefault="00000000">
            <w:r>
              <w:rPr>
                <w:rFonts w:ascii="Arial" w:eastAsia="Arial" w:hAnsi="Arial" w:cs="Arial"/>
                <w:b/>
                <w:bCs/>
                <w:color w:val="1A1A1A"/>
                <w:sz w:val="16"/>
                <w:szCs w:val="16"/>
              </w:rPr>
              <w:t>Establish business continuity plans covering CRA regulatory obligations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BD72BC7" w14:textId="77777777" w:rsidR="00EB47EC" w:rsidRDefault="00000000">
            <w:r>
              <w:rPr>
                <w:rFonts w:ascii="Arial" w:eastAsia="Arial" w:hAnsi="Arial" w:cs="Arial"/>
                <w:color w:val="1A1A1A"/>
                <w:sz w:val="16"/>
                <w:szCs w:val="16"/>
              </w:rPr>
              <w:t>Develop business continuity arrangements covering cessation notification, succession plans (e.g. source code escrow), documentation handover and acquisition contingencies. Review annually.</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8B74A9B" w14:textId="77777777" w:rsidR="00EB47EC" w:rsidRDefault="00000000">
            <w:r>
              <w:rPr>
                <w:rFonts w:ascii="Arial" w:eastAsia="Arial" w:hAnsi="Arial" w:cs="Arial"/>
                <w:color w:val="1A1A1A"/>
                <w:sz w:val="16"/>
                <w:szCs w:val="16"/>
              </w:rPr>
              <w:t>No CRA cessation of operations arrangements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AB61564" w14:textId="77777777" w:rsidR="00EB47EC" w:rsidRDefault="00000000">
            <w:r>
              <w:rPr>
                <w:rFonts w:ascii="Arial" w:eastAsia="Arial" w:hAnsi="Arial" w:cs="Arial"/>
                <w:color w:val="1A1A1A"/>
                <w:sz w:val="16"/>
                <w:szCs w:val="16"/>
              </w:rPr>
              <w:t>Low</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65F8B8D" w14:textId="77777777" w:rsidR="00EB47EC" w:rsidRDefault="00000000">
            <w:r>
              <w:rPr>
                <w:rFonts w:ascii="Arial" w:eastAsia="Arial" w:hAnsi="Arial" w:cs="Arial"/>
                <w:color w:val="1A1A1A"/>
                <w:sz w:val="16"/>
                <w:szCs w:val="16"/>
              </w:rPr>
              <w:t>Low</w:t>
            </w:r>
          </w:p>
        </w:tc>
      </w:tr>
      <w:tr w:rsidR="00EB47EC" w14:paraId="1248277B" w14:textId="77777777">
        <w:trPr>
          <w:cantSplit/>
        </w:trPr>
        <w:tc>
          <w:tcPr>
            <w:tcW w:w="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CA95EE5" w14:textId="77777777" w:rsidR="00EB47EC" w:rsidRDefault="00000000">
            <w:pPr>
              <w:jc w:val="center"/>
            </w:pPr>
            <w:r>
              <w:rPr>
                <w:rFonts w:ascii="Arial" w:eastAsia="Arial" w:hAnsi="Arial" w:cs="Arial"/>
                <w:sz w:val="18"/>
                <w:szCs w:val="18"/>
              </w:rPr>
              <w:t>32</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8AA5E98" w14:textId="77777777" w:rsidR="00EB47EC" w:rsidRDefault="00000000">
            <w:r>
              <w:rPr>
                <w:rFonts w:ascii="Arial" w:eastAsia="Arial" w:hAnsi="Arial" w:cs="Arial"/>
                <w:b/>
                <w:bCs/>
                <w:color w:val="1A1A1A"/>
                <w:sz w:val="16"/>
                <w:szCs w:val="16"/>
              </w:rPr>
              <w:t>Develop end-of-support transition management procedures</w:t>
            </w:r>
          </w:p>
        </w:tc>
        <w:tc>
          <w:tcPr>
            <w:tcW w:w="44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AFBBA2B" w14:textId="77777777" w:rsidR="00EB47EC" w:rsidRDefault="00000000">
            <w:r>
              <w:rPr>
                <w:rFonts w:ascii="Arial" w:eastAsia="Arial" w:hAnsi="Arial" w:cs="Arial"/>
                <w:color w:val="1A1A1A"/>
                <w:sz w:val="16"/>
                <w:szCs w:val="16"/>
              </w:rPr>
              <w:t>Establish end-of-support procedures with advance notification (6–12 months minimum), final hardening guidance and migration advice.</w:t>
            </w:r>
          </w:p>
        </w:tc>
        <w:tc>
          <w:tcPr>
            <w:tcW w:w="1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621F25E" w14:textId="77777777" w:rsidR="00EB47EC" w:rsidRDefault="00000000">
            <w:r>
              <w:rPr>
                <w:rFonts w:ascii="Arial" w:eastAsia="Arial" w:hAnsi="Arial" w:cs="Arial"/>
                <w:color w:val="1A1A1A"/>
                <w:sz w:val="16"/>
                <w:szCs w:val="16"/>
              </w:rPr>
              <w:t>No end-of-support transition procedures</w:t>
            </w:r>
          </w:p>
        </w:tc>
        <w:tc>
          <w:tcPr>
            <w:tcW w:w="7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F5BC575" w14:textId="77777777" w:rsidR="00EB47EC" w:rsidRDefault="00000000">
            <w:r>
              <w:rPr>
                <w:rFonts w:ascii="Arial" w:eastAsia="Arial" w:hAnsi="Arial" w:cs="Arial"/>
                <w:color w:val="1A1A1A"/>
                <w:sz w:val="16"/>
                <w:szCs w:val="16"/>
              </w:rPr>
              <w:t>Low</w:t>
            </w:r>
          </w:p>
        </w:tc>
        <w:tc>
          <w:tcPr>
            <w:tcW w:w="8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EB2F404" w14:textId="77777777" w:rsidR="00EB47EC" w:rsidRDefault="00000000">
            <w:r>
              <w:rPr>
                <w:rFonts w:ascii="Arial" w:eastAsia="Arial" w:hAnsi="Arial" w:cs="Arial"/>
                <w:color w:val="1A1A1A"/>
                <w:sz w:val="16"/>
                <w:szCs w:val="16"/>
              </w:rPr>
              <w:t>Low</w:t>
            </w:r>
          </w:p>
        </w:tc>
      </w:tr>
    </w:tbl>
    <w:p w14:paraId="751F4DFB" w14:textId="77777777" w:rsidR="00EB47EC" w:rsidRDefault="00000000">
      <w:r>
        <w:br w:type="page"/>
      </w:r>
    </w:p>
    <w:p w14:paraId="4CFF8E25" w14:textId="77777777" w:rsidR="00EB47EC" w:rsidRDefault="00000000">
      <w:pPr>
        <w:spacing w:after="200"/>
      </w:pPr>
      <w:r>
        <w:rPr>
          <w:rFonts w:ascii="Arial" w:eastAsia="Arial" w:hAnsi="Arial" w:cs="Arial"/>
          <w:b/>
          <w:bCs/>
          <w:color w:val="1A1A1A"/>
          <w:sz w:val="32"/>
          <w:szCs w:val="32"/>
        </w:rPr>
        <w:lastRenderedPageBreak/>
        <w:t>Evidence Collection Progress</w:t>
      </w:r>
    </w:p>
    <w:p w14:paraId="02FCF3F1" w14:textId="77777777" w:rsidR="00EB47EC" w:rsidRDefault="00000000">
      <w:pPr>
        <w:spacing w:after="300"/>
      </w:pPr>
      <w:r>
        <w:rPr>
          <w:rFonts w:ascii="Arial" w:eastAsia="Arial" w:hAnsi="Arial" w:cs="Arial"/>
          <w:color w:val="666666"/>
        </w:rPr>
        <w:t>Summary of evidence documentation status by domain. Evidence should be retained to support conformity assessment and market surveillance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66"/>
        <w:gridCol w:w="1903"/>
        <w:gridCol w:w="1903"/>
        <w:gridCol w:w="1454"/>
      </w:tblGrid>
      <w:tr w:rsidR="00EB47EC" w14:paraId="0454D644" w14:textId="77777777">
        <w:trPr>
          <w:tblHeader/>
        </w:trPr>
        <w:tc>
          <w:tcPr>
            <w:tcW w:w="4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3D271781" w14:textId="77777777" w:rsidR="00EB47EC" w:rsidRDefault="00000000">
            <w:r>
              <w:rPr>
                <w:rFonts w:ascii="Arial" w:eastAsia="Arial" w:hAnsi="Arial" w:cs="Arial"/>
                <w:b/>
                <w:bCs/>
                <w:color w:val="1A1A1A"/>
                <w:sz w:val="18"/>
                <w:szCs w:val="18"/>
              </w:rPr>
              <w:t>Domain</w:t>
            </w:r>
          </w:p>
        </w:tc>
        <w:tc>
          <w:tcPr>
            <w:tcW w:w="2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1FBD7720" w14:textId="77777777" w:rsidR="00EB47EC" w:rsidRDefault="00000000">
            <w:r>
              <w:rPr>
                <w:rFonts w:ascii="Arial" w:eastAsia="Arial" w:hAnsi="Arial" w:cs="Arial"/>
                <w:b/>
                <w:bCs/>
                <w:color w:val="1A1A1A"/>
                <w:sz w:val="18"/>
                <w:szCs w:val="18"/>
              </w:rPr>
              <w:t>Evidence Provided</w:t>
            </w:r>
          </w:p>
        </w:tc>
        <w:tc>
          <w:tcPr>
            <w:tcW w:w="2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428FC723" w14:textId="77777777" w:rsidR="00EB47EC" w:rsidRDefault="00000000">
            <w:r>
              <w:rPr>
                <w:rFonts w:ascii="Arial" w:eastAsia="Arial" w:hAnsi="Arial" w:cs="Arial"/>
                <w:b/>
                <w:bCs/>
                <w:color w:val="1A1A1A"/>
                <w:sz w:val="18"/>
                <w:szCs w:val="18"/>
              </w:rPr>
              <w:t>Evidence Missing</w:t>
            </w:r>
          </w:p>
        </w:tc>
        <w:tc>
          <w:tcPr>
            <w:tcW w:w="15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20D7729E" w14:textId="77777777" w:rsidR="00EB47EC" w:rsidRDefault="00000000">
            <w:r>
              <w:rPr>
                <w:rFonts w:ascii="Arial" w:eastAsia="Arial" w:hAnsi="Arial" w:cs="Arial"/>
                <w:b/>
                <w:bCs/>
                <w:color w:val="1A1A1A"/>
                <w:sz w:val="18"/>
                <w:szCs w:val="18"/>
              </w:rPr>
              <w:t>% Complete</w:t>
            </w:r>
          </w:p>
        </w:tc>
      </w:tr>
      <w:tr w:rsidR="00EB47EC" w14:paraId="65D00028" w14:textId="77777777">
        <w:trPr>
          <w:cantSplit/>
        </w:trPr>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5ACB164" w14:textId="77777777" w:rsidR="00EB47EC" w:rsidRDefault="00000000">
            <w:r>
              <w:rPr>
                <w:rFonts w:ascii="Arial" w:eastAsia="Arial" w:hAnsi="Arial" w:cs="Arial"/>
                <w:b/>
                <w:bCs/>
                <w:color w:val="1A1A1A"/>
                <w:sz w:val="18"/>
                <w:szCs w:val="18"/>
              </w:rPr>
              <w:t>Secure by Design &amp; Development</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D1E1622" w14:textId="77777777" w:rsidR="00EB47EC" w:rsidRDefault="00000000">
            <w:r>
              <w:rPr>
                <w:rFonts w:ascii="Arial" w:eastAsia="Arial" w:hAnsi="Arial" w:cs="Arial"/>
                <w:color w:val="1A1A1A"/>
                <w:sz w:val="18"/>
                <w:szCs w:val="18"/>
              </w:rPr>
              <w:t>0</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643D0CB" w14:textId="77777777" w:rsidR="00EB47EC" w:rsidRDefault="00000000">
            <w:r>
              <w:rPr>
                <w:rFonts w:ascii="Arial" w:eastAsia="Arial" w:hAnsi="Arial" w:cs="Arial"/>
                <w:color w:val="1A1A1A"/>
                <w:sz w:val="18"/>
                <w:szCs w:val="18"/>
              </w:rPr>
              <w:t>8</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2ADEFAA" w14:textId="77777777" w:rsidR="00EB47EC" w:rsidRDefault="00000000">
            <w:r>
              <w:rPr>
                <w:rFonts w:ascii="Arial" w:eastAsia="Arial" w:hAnsi="Arial" w:cs="Arial"/>
                <w:color w:val="1A1A1A"/>
                <w:sz w:val="18"/>
                <w:szCs w:val="18"/>
              </w:rPr>
              <w:t>0%</w:t>
            </w:r>
          </w:p>
        </w:tc>
      </w:tr>
      <w:tr w:rsidR="00EB47EC" w14:paraId="5E4491C9" w14:textId="77777777">
        <w:trPr>
          <w:cantSplit/>
        </w:trPr>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7A2EF99" w14:textId="77777777" w:rsidR="00EB47EC" w:rsidRDefault="00000000">
            <w:r>
              <w:rPr>
                <w:rFonts w:ascii="Arial" w:eastAsia="Arial" w:hAnsi="Arial" w:cs="Arial"/>
                <w:b/>
                <w:bCs/>
                <w:color w:val="1A1A1A"/>
                <w:sz w:val="18"/>
                <w:szCs w:val="18"/>
              </w:rPr>
              <w:t>Vulnerability Management &amp; Handling</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0CEB519" w14:textId="77777777" w:rsidR="00EB47EC" w:rsidRDefault="00000000">
            <w:r>
              <w:rPr>
                <w:rFonts w:ascii="Arial" w:eastAsia="Arial" w:hAnsi="Arial" w:cs="Arial"/>
                <w:color w:val="1A1A1A"/>
                <w:sz w:val="18"/>
                <w:szCs w:val="18"/>
              </w:rPr>
              <w:t>0</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50644F1" w14:textId="77777777" w:rsidR="00EB47EC" w:rsidRDefault="00000000">
            <w:r>
              <w:rPr>
                <w:rFonts w:ascii="Arial" w:eastAsia="Arial" w:hAnsi="Arial" w:cs="Arial"/>
                <w:color w:val="1A1A1A"/>
                <w:sz w:val="18"/>
                <w:szCs w:val="18"/>
              </w:rPr>
              <w:t>12</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C8FA89D" w14:textId="77777777" w:rsidR="00EB47EC" w:rsidRDefault="00000000">
            <w:r>
              <w:rPr>
                <w:rFonts w:ascii="Arial" w:eastAsia="Arial" w:hAnsi="Arial" w:cs="Arial"/>
                <w:color w:val="1A1A1A"/>
                <w:sz w:val="18"/>
                <w:szCs w:val="18"/>
              </w:rPr>
              <w:t>0%</w:t>
            </w:r>
          </w:p>
        </w:tc>
      </w:tr>
      <w:tr w:rsidR="00EB47EC" w14:paraId="78B116AA" w14:textId="77777777">
        <w:trPr>
          <w:cantSplit/>
        </w:trPr>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799A483" w14:textId="77777777" w:rsidR="00EB47EC" w:rsidRDefault="00000000">
            <w:r>
              <w:rPr>
                <w:rFonts w:ascii="Arial" w:eastAsia="Arial" w:hAnsi="Arial" w:cs="Arial"/>
                <w:b/>
                <w:bCs/>
                <w:color w:val="1A1A1A"/>
                <w:sz w:val="18"/>
                <w:szCs w:val="18"/>
              </w:rPr>
              <w:t>Product Security Properties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C48FCEC" w14:textId="77777777" w:rsidR="00EB47EC" w:rsidRDefault="00000000">
            <w:r>
              <w:rPr>
                <w:rFonts w:ascii="Arial" w:eastAsia="Arial" w:hAnsi="Arial" w:cs="Arial"/>
                <w:color w:val="1A1A1A"/>
                <w:sz w:val="18"/>
                <w:szCs w:val="18"/>
              </w:rPr>
              <w:t>0</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71BC094" w14:textId="77777777" w:rsidR="00EB47EC" w:rsidRDefault="00000000">
            <w:r>
              <w:rPr>
                <w:rFonts w:ascii="Arial" w:eastAsia="Arial" w:hAnsi="Arial" w:cs="Arial"/>
                <w:color w:val="1A1A1A"/>
                <w:sz w:val="18"/>
                <w:szCs w:val="18"/>
              </w:rPr>
              <w:t>11</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EB7B53F" w14:textId="77777777" w:rsidR="00EB47EC" w:rsidRDefault="00000000">
            <w:r>
              <w:rPr>
                <w:rFonts w:ascii="Arial" w:eastAsia="Arial" w:hAnsi="Arial" w:cs="Arial"/>
                <w:color w:val="1A1A1A"/>
                <w:sz w:val="18"/>
                <w:szCs w:val="18"/>
              </w:rPr>
              <w:t>0%</w:t>
            </w:r>
          </w:p>
        </w:tc>
      </w:tr>
      <w:tr w:rsidR="00EB47EC" w14:paraId="1A9E908B" w14:textId="77777777">
        <w:trPr>
          <w:cantSplit/>
        </w:trPr>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CBF5D5C" w14:textId="77777777" w:rsidR="00EB47EC" w:rsidRDefault="00000000">
            <w:r>
              <w:rPr>
                <w:rFonts w:ascii="Arial" w:eastAsia="Arial" w:hAnsi="Arial" w:cs="Arial"/>
                <w:b/>
                <w:bCs/>
                <w:color w:val="1A1A1A"/>
                <w:sz w:val="18"/>
                <w:szCs w:val="18"/>
              </w:rPr>
              <w:t>Incident Reporting &amp; Communication</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46D77F4" w14:textId="77777777" w:rsidR="00EB47EC" w:rsidRDefault="00000000">
            <w:r>
              <w:rPr>
                <w:rFonts w:ascii="Arial" w:eastAsia="Arial" w:hAnsi="Arial" w:cs="Arial"/>
                <w:color w:val="1A1A1A"/>
                <w:sz w:val="18"/>
                <w:szCs w:val="18"/>
              </w:rPr>
              <w:t>0</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69F83D6" w14:textId="77777777" w:rsidR="00EB47EC" w:rsidRDefault="00000000">
            <w:r>
              <w:rPr>
                <w:rFonts w:ascii="Arial" w:eastAsia="Arial" w:hAnsi="Arial" w:cs="Arial"/>
                <w:color w:val="1A1A1A"/>
                <w:sz w:val="18"/>
                <w:szCs w:val="18"/>
              </w:rPr>
              <w:t>6</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0918B6C" w14:textId="77777777" w:rsidR="00EB47EC" w:rsidRDefault="00000000">
            <w:r>
              <w:rPr>
                <w:rFonts w:ascii="Arial" w:eastAsia="Arial" w:hAnsi="Arial" w:cs="Arial"/>
                <w:color w:val="1A1A1A"/>
                <w:sz w:val="18"/>
                <w:szCs w:val="18"/>
              </w:rPr>
              <w:t>0%</w:t>
            </w:r>
          </w:p>
        </w:tc>
      </w:tr>
      <w:tr w:rsidR="00EB47EC" w14:paraId="331B6B06" w14:textId="77777777">
        <w:trPr>
          <w:cantSplit/>
        </w:trPr>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01BE3F6" w14:textId="77777777" w:rsidR="00EB47EC" w:rsidRDefault="00000000">
            <w:r>
              <w:rPr>
                <w:rFonts w:ascii="Arial" w:eastAsia="Arial" w:hAnsi="Arial" w:cs="Arial"/>
                <w:b/>
                <w:bCs/>
                <w:color w:val="1A1A1A"/>
                <w:sz w:val="18"/>
                <w:szCs w:val="18"/>
              </w:rPr>
              <w:t>Technical Documentation &amp; Conformity</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905286F" w14:textId="77777777" w:rsidR="00EB47EC" w:rsidRDefault="00000000">
            <w:r>
              <w:rPr>
                <w:rFonts w:ascii="Arial" w:eastAsia="Arial" w:hAnsi="Arial" w:cs="Arial"/>
                <w:color w:val="1A1A1A"/>
                <w:sz w:val="18"/>
                <w:szCs w:val="18"/>
              </w:rPr>
              <w:t>0</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5ED22E3" w14:textId="77777777" w:rsidR="00EB47EC" w:rsidRDefault="00000000">
            <w:r>
              <w:rPr>
                <w:rFonts w:ascii="Arial" w:eastAsia="Arial" w:hAnsi="Arial" w:cs="Arial"/>
                <w:color w:val="1A1A1A"/>
                <w:sz w:val="18"/>
                <w:szCs w:val="18"/>
              </w:rPr>
              <w:t>13</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5601BE7" w14:textId="77777777" w:rsidR="00EB47EC" w:rsidRDefault="00000000">
            <w:r>
              <w:rPr>
                <w:rFonts w:ascii="Arial" w:eastAsia="Arial" w:hAnsi="Arial" w:cs="Arial"/>
                <w:color w:val="1A1A1A"/>
                <w:sz w:val="18"/>
                <w:szCs w:val="18"/>
              </w:rPr>
              <w:t>0%</w:t>
            </w:r>
          </w:p>
        </w:tc>
      </w:tr>
      <w:tr w:rsidR="00EB47EC" w14:paraId="70C56D52" w14:textId="77777777">
        <w:trPr>
          <w:cantSplit/>
        </w:trPr>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DE5938E" w14:textId="77777777" w:rsidR="00EB47EC" w:rsidRDefault="00000000">
            <w:r>
              <w:rPr>
                <w:rFonts w:ascii="Arial" w:eastAsia="Arial" w:hAnsi="Arial" w:cs="Arial"/>
                <w:b/>
                <w:bCs/>
                <w:color w:val="1A1A1A"/>
                <w:sz w:val="18"/>
                <w:szCs w:val="18"/>
              </w:rPr>
              <w:t>Supply Chain &amp; Third-Party Components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B5A8847" w14:textId="77777777" w:rsidR="00EB47EC" w:rsidRDefault="00000000">
            <w:r>
              <w:rPr>
                <w:rFonts w:ascii="Arial" w:eastAsia="Arial" w:hAnsi="Arial" w:cs="Arial"/>
                <w:color w:val="1A1A1A"/>
                <w:sz w:val="18"/>
                <w:szCs w:val="18"/>
              </w:rPr>
              <w:t>0</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B2ACF87" w14:textId="77777777" w:rsidR="00EB47EC" w:rsidRDefault="00000000">
            <w:r>
              <w:rPr>
                <w:rFonts w:ascii="Arial" w:eastAsia="Arial" w:hAnsi="Arial" w:cs="Arial"/>
                <w:color w:val="1A1A1A"/>
                <w:sz w:val="18"/>
                <w:szCs w:val="18"/>
              </w:rPr>
              <w:t>5</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4684FAD" w14:textId="77777777" w:rsidR="00EB47EC" w:rsidRDefault="00000000">
            <w:r>
              <w:rPr>
                <w:rFonts w:ascii="Arial" w:eastAsia="Arial" w:hAnsi="Arial" w:cs="Arial"/>
                <w:color w:val="1A1A1A"/>
                <w:sz w:val="18"/>
                <w:szCs w:val="18"/>
              </w:rPr>
              <w:t>0%</w:t>
            </w:r>
          </w:p>
        </w:tc>
      </w:tr>
      <w:tr w:rsidR="00EB47EC" w14:paraId="088E0D96" w14:textId="77777777">
        <w:trPr>
          <w:cantSplit/>
        </w:trPr>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0FFDBF2" w14:textId="77777777" w:rsidR="00EB47EC" w:rsidRDefault="00000000">
            <w:r>
              <w:rPr>
                <w:rFonts w:ascii="Arial" w:eastAsia="Arial" w:hAnsi="Arial" w:cs="Arial"/>
                <w:b/>
                <w:bCs/>
                <w:color w:val="1A1A1A"/>
                <w:sz w:val="18"/>
                <w:szCs w:val="18"/>
              </w:rPr>
              <w:t>User Information &amp; Transparency</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2A5C82D" w14:textId="77777777" w:rsidR="00EB47EC" w:rsidRDefault="00000000">
            <w:r>
              <w:rPr>
                <w:rFonts w:ascii="Arial" w:eastAsia="Arial" w:hAnsi="Arial" w:cs="Arial"/>
                <w:color w:val="1A1A1A"/>
                <w:sz w:val="18"/>
                <w:szCs w:val="18"/>
              </w:rPr>
              <w:t>0</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CFD4A74" w14:textId="77777777" w:rsidR="00EB47EC" w:rsidRDefault="00000000">
            <w:r>
              <w:rPr>
                <w:rFonts w:ascii="Arial" w:eastAsia="Arial" w:hAnsi="Arial" w:cs="Arial"/>
                <w:color w:val="1A1A1A"/>
                <w:sz w:val="18"/>
                <w:szCs w:val="18"/>
              </w:rPr>
              <w:t>9</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C1E1164" w14:textId="77777777" w:rsidR="00EB47EC" w:rsidRDefault="00000000">
            <w:r>
              <w:rPr>
                <w:rFonts w:ascii="Arial" w:eastAsia="Arial" w:hAnsi="Arial" w:cs="Arial"/>
                <w:color w:val="1A1A1A"/>
                <w:sz w:val="18"/>
                <w:szCs w:val="18"/>
              </w:rPr>
              <w:t>0%</w:t>
            </w:r>
          </w:p>
        </w:tc>
      </w:tr>
      <w:tr w:rsidR="00EB47EC" w14:paraId="74EBABAD" w14:textId="77777777">
        <w:trPr>
          <w:cantSplit/>
        </w:trPr>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CABE851" w14:textId="77777777" w:rsidR="00EB47EC" w:rsidRDefault="00000000">
            <w:r>
              <w:rPr>
                <w:rFonts w:ascii="Arial" w:eastAsia="Arial" w:hAnsi="Arial" w:cs="Arial"/>
                <w:b/>
                <w:bCs/>
                <w:color w:val="1A1A1A"/>
                <w:sz w:val="18"/>
                <w:szCs w:val="18"/>
              </w:rPr>
              <w:t>Lifecycle &amp; Support Management</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9FC476F" w14:textId="77777777" w:rsidR="00EB47EC" w:rsidRDefault="00000000">
            <w:r>
              <w:rPr>
                <w:rFonts w:ascii="Arial" w:eastAsia="Arial" w:hAnsi="Arial" w:cs="Arial"/>
                <w:color w:val="1A1A1A"/>
                <w:sz w:val="18"/>
                <w:szCs w:val="18"/>
              </w:rPr>
              <w:t>0</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E4D6F9F" w14:textId="77777777" w:rsidR="00EB47EC" w:rsidRDefault="00000000">
            <w:r>
              <w:rPr>
                <w:rFonts w:ascii="Arial" w:eastAsia="Arial" w:hAnsi="Arial" w:cs="Arial"/>
                <w:color w:val="1A1A1A"/>
                <w:sz w:val="18"/>
                <w:szCs w:val="18"/>
              </w:rPr>
              <w:t>9</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BC0222B" w14:textId="77777777" w:rsidR="00EB47EC" w:rsidRDefault="00000000">
            <w:r>
              <w:rPr>
                <w:rFonts w:ascii="Arial" w:eastAsia="Arial" w:hAnsi="Arial" w:cs="Arial"/>
                <w:color w:val="1A1A1A"/>
                <w:sz w:val="18"/>
                <w:szCs w:val="18"/>
              </w:rPr>
              <w:t>0%</w:t>
            </w:r>
          </w:p>
        </w:tc>
      </w:tr>
      <w:tr w:rsidR="00EB47EC" w14:paraId="11AECCB0" w14:textId="77777777">
        <w:trPr>
          <w:cantSplit/>
        </w:trPr>
        <w:tc>
          <w:tcPr>
            <w:tcW w:w="4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02606CF" w14:textId="77777777" w:rsidR="00EB47EC" w:rsidRDefault="00000000">
            <w:r>
              <w:rPr>
                <w:rFonts w:ascii="Arial" w:eastAsia="Arial" w:hAnsi="Arial" w:cs="Arial"/>
                <w:b/>
                <w:bCs/>
                <w:color w:val="1A1A1A"/>
                <w:sz w:val="18"/>
                <w:szCs w:val="18"/>
              </w:rPr>
              <w:t>Total</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DDFE986" w14:textId="77777777" w:rsidR="00EB47EC" w:rsidRDefault="00000000">
            <w:r>
              <w:rPr>
                <w:rFonts w:ascii="Arial" w:eastAsia="Arial" w:hAnsi="Arial" w:cs="Arial"/>
                <w:b/>
                <w:bCs/>
                <w:color w:val="1A1A1A"/>
                <w:sz w:val="18"/>
                <w:szCs w:val="18"/>
              </w:rPr>
              <w:t>0</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20E879B" w14:textId="77777777" w:rsidR="00EB47EC" w:rsidRDefault="00000000">
            <w:r>
              <w:rPr>
                <w:rFonts w:ascii="Arial" w:eastAsia="Arial" w:hAnsi="Arial" w:cs="Arial"/>
                <w:b/>
                <w:bCs/>
                <w:color w:val="1A1A1A"/>
                <w:sz w:val="18"/>
                <w:szCs w:val="18"/>
              </w:rPr>
              <w:t>73</w:t>
            </w:r>
          </w:p>
        </w:tc>
        <w:tc>
          <w:tcPr>
            <w:tcW w:w="1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2751B8C" w14:textId="77777777" w:rsidR="00EB47EC" w:rsidRDefault="00000000">
            <w:r>
              <w:rPr>
                <w:rFonts w:ascii="Arial" w:eastAsia="Arial" w:hAnsi="Arial" w:cs="Arial"/>
                <w:b/>
                <w:bCs/>
                <w:color w:val="1A1A1A"/>
                <w:sz w:val="18"/>
                <w:szCs w:val="18"/>
              </w:rPr>
              <w:t>0%</w:t>
            </w:r>
          </w:p>
        </w:tc>
      </w:tr>
    </w:tbl>
    <w:p w14:paraId="79EF34F4" w14:textId="77777777" w:rsidR="00EB47EC" w:rsidRDefault="00000000">
      <w:r>
        <w:br w:type="page"/>
      </w:r>
    </w:p>
    <w:p w14:paraId="68CF7D9B" w14:textId="77777777" w:rsidR="00EB47EC" w:rsidRDefault="00000000">
      <w:pPr>
        <w:spacing w:after="200"/>
      </w:pPr>
      <w:r>
        <w:rPr>
          <w:rFonts w:ascii="Arial" w:eastAsia="Arial" w:hAnsi="Arial" w:cs="Arial"/>
          <w:b/>
          <w:bCs/>
          <w:color w:val="1A1A1A"/>
          <w:sz w:val="32"/>
          <w:szCs w:val="32"/>
        </w:rPr>
        <w:lastRenderedPageBreak/>
        <w:t>Question-Level Changes</w:t>
      </w:r>
    </w:p>
    <w:p w14:paraId="7B12A502" w14:textId="77777777" w:rsidR="00EB47EC" w:rsidRDefault="00000000">
      <w:pPr>
        <w:spacing w:after="300"/>
      </w:pPr>
      <w:r>
        <w:rPr>
          <w:rFonts w:ascii="Arial" w:eastAsia="Arial" w:hAnsi="Arial" w:cs="Arial"/>
          <w:color w:val="666666"/>
        </w:rPr>
        <w:t>Individual requirement status changes compared against snapshot from 26 Feb 2026 (Jan 2026).</w:t>
      </w:r>
    </w:p>
    <w:p w14:paraId="155127AE" w14:textId="77777777" w:rsidR="00EB47EC" w:rsidRDefault="00000000">
      <w:pPr>
        <w:spacing w:before="200" w:after="150"/>
      </w:pPr>
      <w:r>
        <w:rPr>
          <w:rFonts w:ascii="Arial" w:eastAsia="Arial" w:hAnsi="Arial" w:cs="Arial"/>
          <w:b/>
          <w:bCs/>
          <w:color w:val="22C55E"/>
          <w:sz w:val="22"/>
          <w:szCs w:val="22"/>
        </w:rPr>
        <w:t>▲ Improvements (13)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82"/>
        <w:gridCol w:w="1921"/>
        <w:gridCol w:w="1923"/>
      </w:tblGrid>
      <w:tr w:rsidR="00EB47EC" w14:paraId="0BB8C37D" w14:textId="77777777">
        <w:trPr>
          <w:tblHeader/>
        </w:trPr>
        <w:tc>
          <w:tcPr>
            <w:tcW w:w="55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656BEB8A" w14:textId="77777777" w:rsidR="00EB47EC" w:rsidRDefault="00000000">
            <w:r>
              <w:rPr>
                <w:rFonts w:ascii="Arial" w:eastAsia="Arial" w:hAnsi="Arial" w:cs="Arial"/>
                <w:b/>
                <w:bCs/>
                <w:color w:val="1A1A1A"/>
                <w:sz w:val="18"/>
                <w:szCs w:val="18"/>
              </w:rPr>
              <w:t>Requirement</w:t>
            </w:r>
          </w:p>
        </w:tc>
        <w:tc>
          <w:tcPr>
            <w:tcW w:w="2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78380936" w14:textId="77777777" w:rsidR="00EB47EC" w:rsidRDefault="00000000">
            <w:r>
              <w:rPr>
                <w:rFonts w:ascii="Arial" w:eastAsia="Arial" w:hAnsi="Arial" w:cs="Arial"/>
                <w:b/>
                <w:bCs/>
                <w:color w:val="1A1A1A"/>
                <w:sz w:val="18"/>
                <w:szCs w:val="18"/>
              </w:rPr>
              <w:t>Previous</w:t>
            </w:r>
          </w:p>
        </w:tc>
        <w:tc>
          <w:tcPr>
            <w:tcW w:w="2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18C65508" w14:textId="77777777" w:rsidR="00EB47EC" w:rsidRDefault="00000000">
            <w:r>
              <w:rPr>
                <w:rFonts w:ascii="Arial" w:eastAsia="Arial" w:hAnsi="Arial" w:cs="Arial"/>
                <w:b/>
                <w:bCs/>
                <w:color w:val="1A1A1A"/>
                <w:sz w:val="18"/>
                <w:szCs w:val="18"/>
              </w:rPr>
              <w:t>Current</w:t>
            </w:r>
          </w:p>
        </w:tc>
      </w:tr>
      <w:tr w:rsidR="00EB47EC" w14:paraId="7EFBC484"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A305300" w14:textId="77777777" w:rsidR="00EB47EC" w:rsidRDefault="00000000">
            <w:r>
              <w:rPr>
                <w:rFonts w:ascii="Arial" w:eastAsia="Arial" w:hAnsi="Arial" w:cs="Arial"/>
                <w:color w:val="1A1A1A"/>
                <w:sz w:val="16"/>
                <w:szCs w:val="16"/>
              </w:rPr>
              <w:t>Are there standards and processes to ensure products are delivered with secure default configurations?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AECF081" w14:textId="77777777" w:rsidR="00EB47EC" w:rsidRDefault="00000000">
            <w:r>
              <w:rPr>
                <w:rFonts w:ascii="Arial" w:eastAsia="Arial" w:hAnsi="Arial" w:cs="Arial"/>
                <w:color w:val="1A1A1A"/>
                <w:sz w:val="16"/>
                <w:szCs w:val="16"/>
              </w:rPr>
              <w:t>Not Compliant</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ED365F9" w14:textId="77777777" w:rsidR="00EB47EC" w:rsidRDefault="00000000">
            <w:r>
              <w:rPr>
                <w:rFonts w:ascii="Arial" w:eastAsia="Arial" w:hAnsi="Arial" w:cs="Arial"/>
                <w:b/>
                <w:bCs/>
                <w:color w:val="22C55E"/>
                <w:sz w:val="16"/>
                <w:szCs w:val="16"/>
              </w:rPr>
              <w:t>Compliant</w:t>
            </w:r>
          </w:p>
        </w:tc>
      </w:tr>
      <w:tr w:rsidR="00EB47EC" w14:paraId="71AE2B91"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BAEEB99" w14:textId="77777777" w:rsidR="00EB47EC" w:rsidRDefault="00000000">
            <w:r>
              <w:rPr>
                <w:rFonts w:ascii="Arial" w:eastAsia="Arial" w:hAnsi="Arial" w:cs="Arial"/>
                <w:color w:val="1A1A1A"/>
                <w:sz w:val="16"/>
                <w:szCs w:val="16"/>
              </w:rPr>
              <w:t>Is threat modelling formally applied during the design phase of all products with digital elements?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09118C9" w14:textId="77777777" w:rsidR="00EB47EC" w:rsidRDefault="00000000">
            <w:r>
              <w:rPr>
                <w:rFonts w:ascii="Arial" w:eastAsia="Arial" w:hAnsi="Arial" w:cs="Arial"/>
                <w:color w:val="1A1A1A"/>
                <w:sz w:val="16"/>
                <w:szCs w:val="16"/>
              </w:rPr>
              <w:t>Not Compliant</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970A671" w14:textId="77777777" w:rsidR="00EB47EC" w:rsidRDefault="00000000">
            <w:r>
              <w:rPr>
                <w:rFonts w:ascii="Arial" w:eastAsia="Arial" w:hAnsi="Arial" w:cs="Arial"/>
                <w:b/>
                <w:bCs/>
                <w:color w:val="22C55E"/>
                <w:sz w:val="16"/>
                <w:szCs w:val="16"/>
              </w:rPr>
              <w:t>Compliant</w:t>
            </w:r>
          </w:p>
        </w:tc>
      </w:tr>
      <w:tr w:rsidR="00EB47EC" w14:paraId="4025A6C6"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1CA56E2" w14:textId="77777777" w:rsidR="00EB47EC" w:rsidRDefault="00000000">
            <w:r>
              <w:rPr>
                <w:rFonts w:ascii="Arial" w:eastAsia="Arial" w:hAnsi="Arial" w:cs="Arial"/>
                <w:color w:val="1A1A1A"/>
                <w:sz w:val="16"/>
                <w:szCs w:val="16"/>
              </w:rPr>
              <w:t>Are there secure coding standards and practices mandated across all development teams?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A73E3A9" w14:textId="77777777" w:rsidR="00EB47EC" w:rsidRDefault="00000000">
            <w:r>
              <w:rPr>
                <w:rFonts w:ascii="Arial" w:eastAsia="Arial" w:hAnsi="Arial" w:cs="Arial"/>
                <w:color w:val="1A1A1A"/>
                <w:sz w:val="16"/>
                <w:szCs w:val="16"/>
              </w:rPr>
              <w:t>In Progress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AF18FC8" w14:textId="77777777" w:rsidR="00EB47EC" w:rsidRDefault="00000000">
            <w:r>
              <w:rPr>
                <w:rFonts w:ascii="Arial" w:eastAsia="Arial" w:hAnsi="Arial" w:cs="Arial"/>
                <w:b/>
                <w:bCs/>
                <w:color w:val="22C55E"/>
                <w:sz w:val="16"/>
                <w:szCs w:val="16"/>
              </w:rPr>
              <w:t>Compliant</w:t>
            </w:r>
          </w:p>
        </w:tc>
      </w:tr>
      <w:tr w:rsidR="00EB47EC" w14:paraId="6B6A96F6"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F7BDFD4" w14:textId="77777777" w:rsidR="00EB47EC" w:rsidRDefault="00000000">
            <w:r>
              <w:rPr>
                <w:rFonts w:ascii="Arial" w:eastAsia="Arial" w:hAnsi="Arial" w:cs="Arial"/>
                <w:color w:val="1A1A1A"/>
                <w:sz w:val="16"/>
                <w:szCs w:val="16"/>
              </w:rPr>
              <w:t>Are automated security testing tools (SAST, DAST, SCA) integrated into the development and build pipelines?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E46C96B" w14:textId="77777777" w:rsidR="00EB47EC" w:rsidRDefault="00000000">
            <w:r>
              <w:rPr>
                <w:rFonts w:ascii="Arial" w:eastAsia="Arial" w:hAnsi="Arial" w:cs="Arial"/>
                <w:color w:val="1A1A1A"/>
                <w:sz w:val="16"/>
                <w:szCs w:val="16"/>
              </w:rPr>
              <w:t>Partial</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CA9DC06" w14:textId="77777777" w:rsidR="00EB47EC" w:rsidRDefault="00000000">
            <w:r>
              <w:rPr>
                <w:rFonts w:ascii="Arial" w:eastAsia="Arial" w:hAnsi="Arial" w:cs="Arial"/>
                <w:b/>
                <w:bCs/>
                <w:color w:val="22C55E"/>
                <w:sz w:val="16"/>
                <w:szCs w:val="16"/>
              </w:rPr>
              <w:t>Compliant</w:t>
            </w:r>
          </w:p>
        </w:tc>
      </w:tr>
      <w:tr w:rsidR="00EB47EC" w14:paraId="607DA4DA"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32E51D3" w14:textId="77777777" w:rsidR="00EB47EC" w:rsidRDefault="00000000">
            <w:r>
              <w:rPr>
                <w:rFonts w:ascii="Arial" w:eastAsia="Arial" w:hAnsi="Arial" w:cs="Arial"/>
                <w:color w:val="1A1A1A"/>
                <w:sz w:val="16"/>
                <w:szCs w:val="16"/>
              </w:rPr>
              <w:t>Are there defined processes for handling vulnerability reports received from external parties including security researchers?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3061299" w14:textId="77777777" w:rsidR="00EB47EC" w:rsidRDefault="00000000">
            <w:r>
              <w:rPr>
                <w:rFonts w:ascii="Arial" w:eastAsia="Arial" w:hAnsi="Arial" w:cs="Arial"/>
                <w:color w:val="1A1A1A"/>
                <w:sz w:val="16"/>
                <w:szCs w:val="16"/>
              </w:rPr>
              <w:t>Partial</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B0456AB" w14:textId="77777777" w:rsidR="00EB47EC" w:rsidRDefault="00000000">
            <w:r>
              <w:rPr>
                <w:rFonts w:ascii="Arial" w:eastAsia="Arial" w:hAnsi="Arial" w:cs="Arial"/>
                <w:b/>
                <w:bCs/>
                <w:color w:val="22C55E"/>
                <w:sz w:val="16"/>
                <w:szCs w:val="16"/>
              </w:rPr>
              <w:t>Compliant</w:t>
            </w:r>
          </w:p>
        </w:tc>
      </w:tr>
      <w:tr w:rsidR="00EB47EC" w14:paraId="6B84F170"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2A2B04" w14:textId="77777777" w:rsidR="00EB47EC" w:rsidRDefault="00000000">
            <w:r>
              <w:rPr>
                <w:rFonts w:ascii="Arial" w:eastAsia="Arial" w:hAnsi="Arial" w:cs="Arial"/>
                <w:color w:val="1A1A1A"/>
                <w:sz w:val="16"/>
                <w:szCs w:val="16"/>
              </w:rPr>
              <w:t>Are there organisational requirements for minimising attack surfaces, ensuring product resilience, reducing impact on connected devices and implementing exploitation mitigation?</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FC120E8" w14:textId="77777777" w:rsidR="00EB47EC" w:rsidRDefault="00000000">
            <w:r>
              <w:rPr>
                <w:rFonts w:ascii="Arial" w:eastAsia="Arial" w:hAnsi="Arial" w:cs="Arial"/>
                <w:color w:val="1A1A1A"/>
                <w:sz w:val="16"/>
                <w:szCs w:val="16"/>
              </w:rPr>
              <w:t>Partial</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181FB3" w14:textId="77777777" w:rsidR="00EB47EC" w:rsidRDefault="00000000">
            <w:r>
              <w:rPr>
                <w:rFonts w:ascii="Arial" w:eastAsia="Arial" w:hAnsi="Arial" w:cs="Arial"/>
                <w:b/>
                <w:bCs/>
                <w:color w:val="22C55E"/>
                <w:sz w:val="16"/>
                <w:szCs w:val="16"/>
              </w:rPr>
              <w:t>Compliant</w:t>
            </w:r>
          </w:p>
        </w:tc>
      </w:tr>
      <w:tr w:rsidR="00EB47EC" w14:paraId="18968995"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62F469A" w14:textId="77777777" w:rsidR="00EB47EC" w:rsidRDefault="00000000">
            <w:r>
              <w:rPr>
                <w:rFonts w:ascii="Arial" w:eastAsia="Arial" w:hAnsi="Arial" w:cs="Arial"/>
                <w:color w:val="1A1A1A"/>
                <w:sz w:val="16"/>
                <w:szCs w:val="16"/>
              </w:rPr>
              <w:t>Are there organisational standards requiring products to implement data minimisation principles?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EB477F5" w14:textId="77777777" w:rsidR="00EB47EC" w:rsidRDefault="00000000">
            <w:r>
              <w:rPr>
                <w:rFonts w:ascii="Arial" w:eastAsia="Arial" w:hAnsi="Arial" w:cs="Arial"/>
                <w:color w:val="1A1A1A"/>
                <w:sz w:val="16"/>
                <w:szCs w:val="16"/>
              </w:rPr>
              <w:t>Partial</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C6ACF11" w14:textId="77777777" w:rsidR="00EB47EC" w:rsidRDefault="00000000">
            <w:r>
              <w:rPr>
                <w:rFonts w:ascii="Arial" w:eastAsia="Arial" w:hAnsi="Arial" w:cs="Arial"/>
                <w:b/>
                <w:bCs/>
                <w:color w:val="22C55E"/>
                <w:sz w:val="16"/>
                <w:szCs w:val="16"/>
              </w:rPr>
              <w:t>Compliant</w:t>
            </w:r>
          </w:p>
        </w:tc>
      </w:tr>
      <w:tr w:rsidR="00EB47EC" w14:paraId="77EA88F2"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228DAC4" w14:textId="77777777" w:rsidR="00EB47EC" w:rsidRDefault="00000000">
            <w:r>
              <w:rPr>
                <w:rFonts w:ascii="Arial" w:eastAsia="Arial" w:hAnsi="Arial" w:cs="Arial"/>
                <w:color w:val="1A1A1A"/>
                <w:sz w:val="16"/>
                <w:szCs w:val="16"/>
              </w:rPr>
              <w:t>Are there organisational requirements for products to implement secure boot and firmware integrity verification?</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45D6F89" w14:textId="77777777" w:rsidR="00EB47EC" w:rsidRDefault="00000000">
            <w:r>
              <w:rPr>
                <w:rFonts w:ascii="Arial" w:eastAsia="Arial" w:hAnsi="Arial" w:cs="Arial"/>
                <w:color w:val="1A1A1A"/>
                <w:sz w:val="16"/>
                <w:szCs w:val="16"/>
              </w:rPr>
              <w:t>Partial</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F8CCEE9" w14:textId="77777777" w:rsidR="00EB47EC" w:rsidRDefault="00000000">
            <w:r>
              <w:rPr>
                <w:rFonts w:ascii="Arial" w:eastAsia="Arial" w:hAnsi="Arial" w:cs="Arial"/>
                <w:b/>
                <w:bCs/>
                <w:color w:val="22C55E"/>
                <w:sz w:val="16"/>
                <w:szCs w:val="16"/>
              </w:rPr>
              <w:t>Compliant</w:t>
            </w:r>
          </w:p>
        </w:tc>
      </w:tr>
      <w:tr w:rsidR="00EB47EC" w14:paraId="09825576"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B94B6FA" w14:textId="77777777" w:rsidR="00EB47EC" w:rsidRDefault="00000000">
            <w:r>
              <w:rPr>
                <w:rFonts w:ascii="Arial" w:eastAsia="Arial" w:hAnsi="Arial" w:cs="Arial"/>
                <w:color w:val="1A1A1A"/>
                <w:sz w:val="16"/>
                <w:szCs w:val="16"/>
              </w:rPr>
              <w:t>Are there organisational standards for the secure storage and handling of credentials, keys and secrets within products?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33C99D2" w14:textId="77777777" w:rsidR="00EB47EC" w:rsidRDefault="00000000">
            <w:r>
              <w:rPr>
                <w:rFonts w:ascii="Arial" w:eastAsia="Arial" w:hAnsi="Arial" w:cs="Arial"/>
                <w:color w:val="1A1A1A"/>
                <w:sz w:val="16"/>
                <w:szCs w:val="16"/>
              </w:rPr>
              <w:t>In Progress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6E5D0A7" w14:textId="77777777" w:rsidR="00EB47EC" w:rsidRDefault="00000000">
            <w:r>
              <w:rPr>
                <w:rFonts w:ascii="Arial" w:eastAsia="Arial" w:hAnsi="Arial" w:cs="Arial"/>
                <w:b/>
                <w:bCs/>
                <w:color w:val="22C55E"/>
                <w:sz w:val="16"/>
                <w:szCs w:val="16"/>
              </w:rPr>
              <w:t>Compliant</w:t>
            </w:r>
          </w:p>
        </w:tc>
      </w:tr>
      <w:tr w:rsidR="00EB47EC" w14:paraId="0786C2A1"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8154B95" w14:textId="77777777" w:rsidR="00EB47EC" w:rsidRDefault="00000000">
            <w:r>
              <w:rPr>
                <w:rFonts w:ascii="Arial" w:eastAsia="Arial" w:hAnsi="Arial" w:cs="Arial"/>
                <w:color w:val="1A1A1A"/>
                <w:sz w:val="16"/>
                <w:szCs w:val="16"/>
              </w:rPr>
              <w:t>Are there processes for reporting any severe incident having an impact on the security of a product to the relevant market surveillance authority?</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4018A6B" w14:textId="77777777" w:rsidR="00EB47EC" w:rsidRDefault="00000000">
            <w:r>
              <w:rPr>
                <w:rFonts w:ascii="Arial" w:eastAsia="Arial" w:hAnsi="Arial" w:cs="Arial"/>
                <w:color w:val="1A1A1A"/>
                <w:sz w:val="16"/>
                <w:szCs w:val="16"/>
              </w:rPr>
              <w:t>Partial</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A27E4F1" w14:textId="77777777" w:rsidR="00EB47EC" w:rsidRDefault="00000000">
            <w:r>
              <w:rPr>
                <w:rFonts w:ascii="Arial" w:eastAsia="Arial" w:hAnsi="Arial" w:cs="Arial"/>
                <w:b/>
                <w:bCs/>
                <w:color w:val="22C55E"/>
                <w:sz w:val="16"/>
                <w:szCs w:val="16"/>
              </w:rPr>
              <w:t>Compliant</w:t>
            </w:r>
          </w:p>
        </w:tc>
      </w:tr>
      <w:tr w:rsidR="00EB47EC" w14:paraId="7833292A"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7E53C21" w14:textId="77777777" w:rsidR="00EB47EC" w:rsidRDefault="00000000">
            <w:r>
              <w:rPr>
                <w:rFonts w:ascii="Arial" w:eastAsia="Arial" w:hAnsi="Arial" w:cs="Arial"/>
                <w:color w:val="1A1A1A"/>
                <w:sz w:val="16"/>
                <w:szCs w:val="16"/>
              </w:rPr>
              <w:t>Is the organisation prepared to complete EU Declarations of Conformity and apply CE marking to products?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040AD2F" w14:textId="77777777" w:rsidR="00EB47EC" w:rsidRDefault="00000000">
            <w:r>
              <w:rPr>
                <w:rFonts w:ascii="Arial" w:eastAsia="Arial" w:hAnsi="Arial" w:cs="Arial"/>
                <w:color w:val="1A1A1A"/>
                <w:sz w:val="16"/>
                <w:szCs w:val="16"/>
              </w:rPr>
              <w:t>In Progress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C40ACD5" w14:textId="77777777" w:rsidR="00EB47EC" w:rsidRDefault="00000000">
            <w:r>
              <w:rPr>
                <w:rFonts w:ascii="Arial" w:eastAsia="Arial" w:hAnsi="Arial" w:cs="Arial"/>
                <w:b/>
                <w:bCs/>
                <w:color w:val="22C55E"/>
                <w:sz w:val="16"/>
                <w:szCs w:val="16"/>
              </w:rPr>
              <w:t>Compliant</w:t>
            </w:r>
          </w:p>
        </w:tc>
      </w:tr>
      <w:tr w:rsidR="00EB47EC" w14:paraId="030271DD"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DBF1C87" w14:textId="77777777" w:rsidR="00EB47EC" w:rsidRDefault="00000000">
            <w:r>
              <w:rPr>
                <w:rFonts w:ascii="Arial" w:eastAsia="Arial" w:hAnsi="Arial" w:cs="Arial"/>
                <w:color w:val="1A1A1A"/>
                <w:sz w:val="16"/>
                <w:szCs w:val="16"/>
              </w:rPr>
              <w:t>Has the organisation classified its products against CRA Annex III and Annex IV to determine the applicable conformity assessment procedures?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7B65305" w14:textId="77777777" w:rsidR="00EB47EC" w:rsidRDefault="00000000">
            <w:r>
              <w:rPr>
                <w:rFonts w:ascii="Arial" w:eastAsia="Arial" w:hAnsi="Arial" w:cs="Arial"/>
                <w:color w:val="1A1A1A"/>
                <w:sz w:val="16"/>
                <w:szCs w:val="16"/>
              </w:rPr>
              <w:t>Partial</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89B9079" w14:textId="77777777" w:rsidR="00EB47EC" w:rsidRDefault="00000000">
            <w:r>
              <w:rPr>
                <w:rFonts w:ascii="Arial" w:eastAsia="Arial" w:hAnsi="Arial" w:cs="Arial"/>
                <w:b/>
                <w:bCs/>
                <w:color w:val="22C55E"/>
                <w:sz w:val="16"/>
                <w:szCs w:val="16"/>
              </w:rPr>
              <w:t>Compliant</w:t>
            </w:r>
          </w:p>
        </w:tc>
      </w:tr>
      <w:tr w:rsidR="00EB47EC" w14:paraId="2F1D6C32"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FD6E129" w14:textId="77777777" w:rsidR="00EB47EC" w:rsidRDefault="00000000">
            <w:r>
              <w:rPr>
                <w:rFonts w:ascii="Arial" w:eastAsia="Arial" w:hAnsi="Arial" w:cs="Arial"/>
                <w:color w:val="1A1A1A"/>
                <w:sz w:val="16"/>
                <w:szCs w:val="16"/>
              </w:rPr>
              <w:t>Is there an organisational capability to generate and maintain Software Bills of Materials (SBOMs) for products?</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188AC60" w14:textId="77777777" w:rsidR="00EB47EC" w:rsidRDefault="00000000">
            <w:r>
              <w:rPr>
                <w:rFonts w:ascii="Arial" w:eastAsia="Arial" w:hAnsi="Arial" w:cs="Arial"/>
                <w:color w:val="1A1A1A"/>
                <w:sz w:val="16"/>
                <w:szCs w:val="16"/>
              </w:rPr>
              <w:t>Partial</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349BE7C" w14:textId="77777777" w:rsidR="00EB47EC" w:rsidRDefault="00000000">
            <w:r>
              <w:rPr>
                <w:rFonts w:ascii="Arial" w:eastAsia="Arial" w:hAnsi="Arial" w:cs="Arial"/>
                <w:b/>
                <w:bCs/>
                <w:color w:val="22C55E"/>
                <w:sz w:val="16"/>
                <w:szCs w:val="16"/>
              </w:rPr>
              <w:t>Compliant</w:t>
            </w:r>
          </w:p>
        </w:tc>
      </w:tr>
    </w:tbl>
    <w:p w14:paraId="16CC8924" w14:textId="77777777" w:rsidR="00EB47EC" w:rsidRDefault="00000000">
      <w:pPr>
        <w:spacing w:before="300" w:after="150"/>
      </w:pPr>
      <w:r>
        <w:rPr>
          <w:rFonts w:ascii="Arial" w:eastAsia="Arial" w:hAnsi="Arial" w:cs="Arial"/>
          <w:b/>
          <w:bCs/>
          <w:color w:val="EF4444"/>
          <w:sz w:val="22"/>
          <w:szCs w:val="22"/>
        </w:rPr>
        <w:t>▼ Regressions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87"/>
        <w:gridCol w:w="1922"/>
        <w:gridCol w:w="1917"/>
      </w:tblGrid>
      <w:tr w:rsidR="00EB47EC" w14:paraId="646B8E02" w14:textId="77777777">
        <w:trPr>
          <w:tblHeader/>
        </w:trPr>
        <w:tc>
          <w:tcPr>
            <w:tcW w:w="55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3FB5EECA" w14:textId="77777777" w:rsidR="00EB47EC" w:rsidRDefault="00000000">
            <w:r>
              <w:rPr>
                <w:rFonts w:ascii="Arial" w:eastAsia="Arial" w:hAnsi="Arial" w:cs="Arial"/>
                <w:b/>
                <w:bCs/>
                <w:color w:val="1A1A1A"/>
                <w:sz w:val="18"/>
                <w:szCs w:val="18"/>
              </w:rPr>
              <w:t>Requirement</w:t>
            </w:r>
          </w:p>
        </w:tc>
        <w:tc>
          <w:tcPr>
            <w:tcW w:w="2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41968483" w14:textId="77777777" w:rsidR="00EB47EC" w:rsidRDefault="00000000">
            <w:r>
              <w:rPr>
                <w:rFonts w:ascii="Arial" w:eastAsia="Arial" w:hAnsi="Arial" w:cs="Arial"/>
                <w:b/>
                <w:bCs/>
                <w:color w:val="1A1A1A"/>
                <w:sz w:val="18"/>
                <w:szCs w:val="18"/>
              </w:rPr>
              <w:t>Previous</w:t>
            </w:r>
          </w:p>
        </w:tc>
        <w:tc>
          <w:tcPr>
            <w:tcW w:w="2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46667A38" w14:textId="77777777" w:rsidR="00EB47EC" w:rsidRDefault="00000000">
            <w:r>
              <w:rPr>
                <w:rFonts w:ascii="Arial" w:eastAsia="Arial" w:hAnsi="Arial" w:cs="Arial"/>
                <w:b/>
                <w:bCs/>
                <w:color w:val="1A1A1A"/>
                <w:sz w:val="18"/>
                <w:szCs w:val="18"/>
              </w:rPr>
              <w:t>Current</w:t>
            </w:r>
          </w:p>
        </w:tc>
      </w:tr>
      <w:tr w:rsidR="00EB47EC" w14:paraId="284F885F"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D33D080" w14:textId="77777777" w:rsidR="00EB47EC" w:rsidRDefault="00000000">
            <w:r>
              <w:rPr>
                <w:rFonts w:ascii="Arial" w:eastAsia="Arial" w:hAnsi="Arial" w:cs="Arial"/>
                <w:color w:val="1A1A1A"/>
                <w:sz w:val="16"/>
                <w:szCs w:val="16"/>
              </w:rPr>
              <w:t>Are there organisational standards requiring products to limit or disable unnecessary network interfaces, ports and services by default?</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7D275F3" w14:textId="77777777" w:rsidR="00EB47EC" w:rsidRDefault="00000000">
            <w:r>
              <w:rPr>
                <w:rFonts w:ascii="Arial" w:eastAsia="Arial" w:hAnsi="Arial" w:cs="Arial"/>
                <w:color w:val="1A1A1A"/>
                <w:sz w:val="16"/>
                <w:szCs w:val="16"/>
              </w:rPr>
              <w:t>Compliant</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003AEA4" w14:textId="77777777" w:rsidR="00EB47EC" w:rsidRDefault="00000000">
            <w:r>
              <w:rPr>
                <w:rFonts w:ascii="Arial" w:eastAsia="Arial" w:hAnsi="Arial" w:cs="Arial"/>
                <w:b/>
                <w:bCs/>
                <w:color w:val="F59E0B"/>
                <w:sz w:val="16"/>
                <w:szCs w:val="16"/>
              </w:rPr>
              <w:t>In Progress</w:t>
            </w:r>
          </w:p>
        </w:tc>
      </w:tr>
      <w:tr w:rsidR="00EB47EC" w14:paraId="5FE862B6" w14:textId="77777777">
        <w:trPr>
          <w:cantSplit/>
        </w:trPr>
        <w:tc>
          <w:tcPr>
            <w:tcW w:w="5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E2F603C" w14:textId="77777777" w:rsidR="00EB47EC" w:rsidRDefault="00000000">
            <w:r>
              <w:rPr>
                <w:rFonts w:ascii="Arial" w:eastAsia="Arial" w:hAnsi="Arial" w:cs="Arial"/>
                <w:color w:val="1A1A1A"/>
                <w:sz w:val="16"/>
                <w:szCs w:val="16"/>
              </w:rPr>
              <w:t>Are there organisational standards for securing cloud backends, web dashboards and remote management interfaces associated with products, including authentication, MFA, session management, access control and logging?</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A8B962E" w14:textId="77777777" w:rsidR="00EB47EC" w:rsidRDefault="00000000">
            <w:r>
              <w:rPr>
                <w:rFonts w:ascii="Arial" w:eastAsia="Arial" w:hAnsi="Arial" w:cs="Arial"/>
                <w:color w:val="1A1A1A"/>
                <w:sz w:val="16"/>
                <w:szCs w:val="16"/>
              </w:rPr>
              <w:t>Compliant</w:t>
            </w:r>
          </w:p>
        </w:tc>
        <w:tc>
          <w:tcPr>
            <w:tcW w:w="2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80D43A1" w14:textId="77777777" w:rsidR="00EB47EC" w:rsidRDefault="00000000">
            <w:r>
              <w:rPr>
                <w:rFonts w:ascii="Arial" w:eastAsia="Arial" w:hAnsi="Arial" w:cs="Arial"/>
                <w:b/>
                <w:bCs/>
                <w:color w:val="F59E0B"/>
                <w:sz w:val="16"/>
                <w:szCs w:val="16"/>
              </w:rPr>
              <w:t>In Progress</w:t>
            </w:r>
          </w:p>
        </w:tc>
      </w:tr>
    </w:tbl>
    <w:p w14:paraId="711FB72E" w14:textId="77777777" w:rsidR="00EB47EC" w:rsidRDefault="00000000">
      <w:r>
        <w:br w:type="page"/>
      </w:r>
    </w:p>
    <w:p w14:paraId="68C36275" w14:textId="77777777" w:rsidR="00EB47EC" w:rsidRDefault="00000000">
      <w:pPr>
        <w:spacing w:after="300"/>
      </w:pPr>
      <w:r>
        <w:rPr>
          <w:rFonts w:ascii="Arial" w:eastAsia="Arial" w:hAnsi="Arial" w:cs="Arial"/>
          <w:b/>
          <w:bCs/>
          <w:color w:val="1A1A1A"/>
          <w:sz w:val="32"/>
          <w:szCs w:val="32"/>
        </w:rPr>
        <w:lastRenderedPageBreak/>
        <w:t>Glossary of Terms</w:t>
      </w:r>
    </w:p>
    <w:p w14:paraId="2AA5215C" w14:textId="77777777" w:rsidR="00EB47EC" w:rsidRDefault="00000000">
      <w:pPr>
        <w:spacing w:after="300"/>
      </w:pPr>
      <w:r>
        <w:rPr>
          <w:rFonts w:ascii="Arial" w:eastAsia="Arial" w:hAnsi="Arial" w:cs="Arial"/>
          <w:color w:val="666666"/>
          <w:sz w:val="18"/>
          <w:szCs w:val="18"/>
        </w:rPr>
        <w:t>This glossary explains key terms used throughout this assessment to help readers understand the regulatory and technical concepts.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11"/>
        <w:gridCol w:w="6715"/>
      </w:tblGrid>
      <w:tr w:rsidR="00EB47EC" w14:paraId="0A55AD7D" w14:textId="77777777">
        <w:trPr>
          <w:tblHeader/>
        </w:trPr>
        <w:tc>
          <w:tcPr>
            <w:tcW w:w="25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1BFD8DC2" w14:textId="77777777" w:rsidR="00EB47EC" w:rsidRDefault="00000000">
            <w:r>
              <w:rPr>
                <w:rFonts w:ascii="Arial" w:eastAsia="Arial" w:hAnsi="Arial" w:cs="Arial"/>
                <w:b/>
                <w:bCs/>
                <w:color w:val="1A1A1A"/>
                <w:sz w:val="18"/>
                <w:szCs w:val="18"/>
              </w:rPr>
              <w:t>Term</w:t>
            </w:r>
          </w:p>
        </w:tc>
        <w:tc>
          <w:tcPr>
            <w:tcW w:w="8000" w:type="dxa"/>
            <w:tcBorders>
              <w:top w:val="none" w:sz="0" w:space="0" w:color="FFFFFF"/>
              <w:left w:val="none" w:sz="0" w:space="0" w:color="FFFFFF"/>
              <w:bottom w:val="single" w:sz="8" w:space="0" w:color="1A1A1A"/>
              <w:right w:val="none" w:sz="0" w:space="0" w:color="FFFFFF"/>
            </w:tcBorders>
            <w:tcMar>
              <w:top w:w="80" w:type="dxa"/>
              <w:left w:w="100" w:type="dxa"/>
              <w:bottom w:w="80" w:type="dxa"/>
              <w:right w:w="100" w:type="dxa"/>
            </w:tcMar>
            <w:vAlign w:val="center"/>
          </w:tcPr>
          <w:p w14:paraId="6933FBF4" w14:textId="77777777" w:rsidR="00EB47EC" w:rsidRDefault="00000000">
            <w:r>
              <w:rPr>
                <w:rFonts w:ascii="Arial" w:eastAsia="Arial" w:hAnsi="Arial" w:cs="Arial"/>
                <w:b/>
                <w:bCs/>
                <w:color w:val="1A1A1A"/>
                <w:sz w:val="18"/>
                <w:szCs w:val="18"/>
              </w:rPr>
              <w:t>Description</w:t>
            </w:r>
          </w:p>
        </w:tc>
      </w:tr>
      <w:tr w:rsidR="00EB47EC" w14:paraId="1EB9F925"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3ED52D4" w14:textId="77777777" w:rsidR="00EB47EC" w:rsidRDefault="00000000">
            <w:r>
              <w:rPr>
                <w:rFonts w:ascii="Arial" w:eastAsia="Arial" w:hAnsi="Arial" w:cs="Arial"/>
                <w:b/>
                <w:bCs/>
                <w:color w:val="1A1A1A"/>
                <w:sz w:val="18"/>
                <w:szCs w:val="18"/>
              </w:rPr>
              <w:t>Annex I</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28F4E42" w14:textId="77777777" w:rsidR="00EB47EC" w:rsidRDefault="00000000">
            <w:r>
              <w:rPr>
                <w:rFonts w:ascii="Arial" w:eastAsia="Arial" w:hAnsi="Arial" w:cs="Arial"/>
                <w:color w:val="1A1A1A"/>
                <w:sz w:val="16"/>
                <w:szCs w:val="16"/>
              </w:rPr>
              <w:t>The section of the CRA listing the essential cybersecurity requirements for products with digital elements, split into Part I (security properties) and Part II (vulnerability handling).</w:t>
            </w:r>
          </w:p>
        </w:tc>
      </w:tr>
      <w:tr w:rsidR="00EB47EC" w14:paraId="5A6E5E7F"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F97B8A3" w14:textId="77777777" w:rsidR="00EB47EC" w:rsidRDefault="00000000">
            <w:r>
              <w:rPr>
                <w:rFonts w:ascii="Arial" w:eastAsia="Arial" w:hAnsi="Arial" w:cs="Arial"/>
                <w:b/>
                <w:bCs/>
                <w:color w:val="1A1A1A"/>
                <w:sz w:val="18"/>
                <w:szCs w:val="18"/>
              </w:rPr>
              <w:t>Annex II</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A9327E5" w14:textId="77777777" w:rsidR="00EB47EC" w:rsidRDefault="00000000">
            <w:r>
              <w:rPr>
                <w:rFonts w:ascii="Arial" w:eastAsia="Arial" w:hAnsi="Arial" w:cs="Arial"/>
                <w:color w:val="1A1A1A"/>
                <w:sz w:val="16"/>
                <w:szCs w:val="16"/>
              </w:rPr>
              <w:t>The section of the CRA specifying the information and instructions that must be provided to users of products with digital elements.</w:t>
            </w:r>
          </w:p>
        </w:tc>
      </w:tr>
      <w:tr w:rsidR="00EB47EC" w14:paraId="0AD290AC"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72C13F7" w14:textId="77777777" w:rsidR="00EB47EC" w:rsidRDefault="00000000">
            <w:r>
              <w:rPr>
                <w:rFonts w:ascii="Arial" w:eastAsia="Arial" w:hAnsi="Arial" w:cs="Arial"/>
                <w:b/>
                <w:bCs/>
                <w:color w:val="1A1A1A"/>
                <w:sz w:val="18"/>
                <w:szCs w:val="18"/>
              </w:rPr>
              <w:t>CE Marking</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106BECD" w14:textId="77777777" w:rsidR="00EB47EC" w:rsidRDefault="00000000">
            <w:r>
              <w:rPr>
                <w:rFonts w:ascii="Arial" w:eastAsia="Arial" w:hAnsi="Arial" w:cs="Arial"/>
                <w:color w:val="1A1A1A"/>
                <w:sz w:val="16"/>
                <w:szCs w:val="16"/>
              </w:rPr>
              <w:t>Conformité Européenne. A marking affixed to products indicating conformity with EU health, safety, and environmental requirements. Required for CRA compliance.</w:t>
            </w:r>
          </w:p>
        </w:tc>
      </w:tr>
      <w:tr w:rsidR="00EB47EC" w14:paraId="0CD0C07C"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B04D3ED" w14:textId="77777777" w:rsidR="00EB47EC" w:rsidRDefault="00000000">
            <w:r>
              <w:rPr>
                <w:rFonts w:ascii="Arial" w:eastAsia="Arial" w:hAnsi="Arial" w:cs="Arial"/>
                <w:b/>
                <w:bCs/>
                <w:color w:val="1A1A1A"/>
                <w:sz w:val="18"/>
                <w:szCs w:val="18"/>
              </w:rPr>
              <w:t>Conformity Assessment</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34302D7" w14:textId="77777777" w:rsidR="00EB47EC" w:rsidRDefault="00000000">
            <w:r>
              <w:rPr>
                <w:rFonts w:ascii="Arial" w:eastAsia="Arial" w:hAnsi="Arial" w:cs="Arial"/>
                <w:color w:val="1A1A1A"/>
                <w:sz w:val="16"/>
                <w:szCs w:val="16"/>
              </w:rPr>
              <w:t>The process of evaluating whether a product meets the essential requirements of the CRA. May be self-assessed (Module A) or require third-party assessment (Modules B+C or H).</w:t>
            </w:r>
          </w:p>
        </w:tc>
      </w:tr>
      <w:tr w:rsidR="00EB47EC" w14:paraId="2D70584E"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F750860" w14:textId="77777777" w:rsidR="00EB47EC" w:rsidRDefault="00000000">
            <w:r>
              <w:rPr>
                <w:rFonts w:ascii="Arial" w:eastAsia="Arial" w:hAnsi="Arial" w:cs="Arial"/>
                <w:b/>
                <w:bCs/>
                <w:color w:val="1A1A1A"/>
                <w:sz w:val="18"/>
                <w:szCs w:val="18"/>
              </w:rPr>
              <w:t>Coordinated Vulnerability Disclosure</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7CF0E9D" w14:textId="77777777" w:rsidR="00EB47EC" w:rsidRDefault="00000000">
            <w:r>
              <w:rPr>
                <w:rFonts w:ascii="Arial" w:eastAsia="Arial" w:hAnsi="Arial" w:cs="Arial"/>
                <w:color w:val="1A1A1A"/>
                <w:sz w:val="16"/>
                <w:szCs w:val="16"/>
              </w:rPr>
              <w:t>A structured process through which vulnerabilities are reported to the manufacturer, allowing remediation before public disclosure.</w:t>
            </w:r>
          </w:p>
        </w:tc>
      </w:tr>
      <w:tr w:rsidR="00EB47EC" w14:paraId="4F3EBB3F"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9F875D0" w14:textId="77777777" w:rsidR="00EB47EC" w:rsidRDefault="00000000">
            <w:r>
              <w:rPr>
                <w:rFonts w:ascii="Arial" w:eastAsia="Arial" w:hAnsi="Arial" w:cs="Arial"/>
                <w:b/>
                <w:bCs/>
                <w:color w:val="1A1A1A"/>
                <w:sz w:val="18"/>
                <w:szCs w:val="18"/>
              </w:rPr>
              <w:t>CRA</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BCC7F5B" w14:textId="77777777" w:rsidR="00EB47EC" w:rsidRDefault="00000000">
            <w:r>
              <w:rPr>
                <w:rFonts w:ascii="Arial" w:eastAsia="Arial" w:hAnsi="Arial" w:cs="Arial"/>
                <w:color w:val="1A1A1A"/>
                <w:sz w:val="16"/>
                <w:szCs w:val="16"/>
              </w:rPr>
              <w:t>Cyber Resilience Act (Regulation (EU) 2024/2847). EU regulation establishing cybersecurity requirements for products with digital elements placed on the EU market.</w:t>
            </w:r>
          </w:p>
        </w:tc>
      </w:tr>
      <w:tr w:rsidR="00EB47EC" w14:paraId="15B2651B"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4A23D06" w14:textId="77777777" w:rsidR="00EB47EC" w:rsidRDefault="00000000">
            <w:r>
              <w:rPr>
                <w:rFonts w:ascii="Arial" w:eastAsia="Arial" w:hAnsi="Arial" w:cs="Arial"/>
                <w:b/>
                <w:bCs/>
                <w:color w:val="1A1A1A"/>
                <w:sz w:val="18"/>
                <w:szCs w:val="18"/>
              </w:rPr>
              <w:t>CSIRT</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F0BE08D" w14:textId="77777777" w:rsidR="00EB47EC" w:rsidRDefault="00000000">
            <w:r>
              <w:rPr>
                <w:rFonts w:ascii="Arial" w:eastAsia="Arial" w:hAnsi="Arial" w:cs="Arial"/>
                <w:color w:val="1A1A1A"/>
                <w:sz w:val="16"/>
                <w:szCs w:val="16"/>
              </w:rPr>
              <w:t>Computer Security Incident Response Team. Under the CRA, manufacturers must report actively exploited vulnerabilities to designated CSIRTs within 24 hours.</w:t>
            </w:r>
          </w:p>
        </w:tc>
      </w:tr>
      <w:tr w:rsidR="00EB47EC" w14:paraId="21EF7E29"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7DD7527" w14:textId="77777777" w:rsidR="00EB47EC" w:rsidRDefault="00000000">
            <w:r>
              <w:rPr>
                <w:rFonts w:ascii="Arial" w:eastAsia="Arial" w:hAnsi="Arial" w:cs="Arial"/>
                <w:b/>
                <w:bCs/>
                <w:color w:val="1A1A1A"/>
                <w:sz w:val="18"/>
                <w:szCs w:val="18"/>
              </w:rPr>
              <w:t>ENISA</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5E449CA" w14:textId="77777777" w:rsidR="00EB47EC" w:rsidRDefault="00000000">
            <w:r>
              <w:rPr>
                <w:rFonts w:ascii="Arial" w:eastAsia="Arial" w:hAnsi="Arial" w:cs="Arial"/>
                <w:color w:val="1A1A1A"/>
                <w:sz w:val="16"/>
                <w:szCs w:val="16"/>
              </w:rPr>
              <w:t>European Union Agency for Cybersecurity. The EU agency dedicated to achieving a high common level of cybersecurity. Receives vulnerability reports alongside CSIRTs under the CRA.</w:t>
            </w:r>
          </w:p>
        </w:tc>
      </w:tr>
      <w:tr w:rsidR="00EB47EC" w14:paraId="33B3D1C9"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BC7B213" w14:textId="77777777" w:rsidR="00EB47EC" w:rsidRDefault="00000000">
            <w:r>
              <w:rPr>
                <w:rFonts w:ascii="Arial" w:eastAsia="Arial" w:hAnsi="Arial" w:cs="Arial"/>
                <w:b/>
                <w:bCs/>
                <w:color w:val="1A1A1A"/>
                <w:sz w:val="18"/>
                <w:szCs w:val="18"/>
              </w:rPr>
              <w:t>EU Declaration of Conformity</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707722C" w14:textId="77777777" w:rsidR="00EB47EC" w:rsidRDefault="00000000">
            <w:r>
              <w:rPr>
                <w:rFonts w:ascii="Arial" w:eastAsia="Arial" w:hAnsi="Arial" w:cs="Arial"/>
                <w:color w:val="1A1A1A"/>
                <w:sz w:val="16"/>
                <w:szCs w:val="16"/>
              </w:rPr>
              <w:t>A document in which the manufacturer formally declares that a product meets the essential requirements of the CRA and other applicable EU regulations.</w:t>
            </w:r>
          </w:p>
        </w:tc>
      </w:tr>
      <w:tr w:rsidR="00EB47EC" w14:paraId="3564638D"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483D0A8" w14:textId="77777777" w:rsidR="00EB47EC" w:rsidRDefault="00000000">
            <w:r>
              <w:rPr>
                <w:rFonts w:ascii="Arial" w:eastAsia="Arial" w:hAnsi="Arial" w:cs="Arial"/>
                <w:b/>
                <w:bCs/>
                <w:color w:val="1A1A1A"/>
                <w:sz w:val="18"/>
                <w:szCs w:val="18"/>
              </w:rPr>
              <w:t>Module A</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1FE87F32" w14:textId="77777777" w:rsidR="00EB47EC" w:rsidRDefault="00000000">
            <w:r>
              <w:rPr>
                <w:rFonts w:ascii="Arial" w:eastAsia="Arial" w:hAnsi="Arial" w:cs="Arial"/>
                <w:color w:val="1A1A1A"/>
                <w:sz w:val="16"/>
                <w:szCs w:val="16"/>
              </w:rPr>
              <w:t>Internal production control. A conformity assessment procedure where the manufacturer self-assesses compliance. Available for default (non-critical, non-important) products.</w:t>
            </w:r>
          </w:p>
        </w:tc>
      </w:tr>
      <w:tr w:rsidR="00EB47EC" w14:paraId="46C15B27"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74BEF83" w14:textId="77777777" w:rsidR="00EB47EC" w:rsidRDefault="00000000">
            <w:r>
              <w:rPr>
                <w:rFonts w:ascii="Arial" w:eastAsia="Arial" w:hAnsi="Arial" w:cs="Arial"/>
                <w:b/>
                <w:bCs/>
                <w:color w:val="1A1A1A"/>
                <w:sz w:val="18"/>
                <w:szCs w:val="18"/>
              </w:rPr>
              <w:t>Module B+C</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73065E1" w14:textId="77777777" w:rsidR="00EB47EC" w:rsidRDefault="00000000">
            <w:r>
              <w:rPr>
                <w:rFonts w:ascii="Arial" w:eastAsia="Arial" w:hAnsi="Arial" w:cs="Arial"/>
                <w:color w:val="1A1A1A"/>
                <w:sz w:val="16"/>
                <w:szCs w:val="16"/>
              </w:rPr>
              <w:t>EU-type examination plus conformity to type. A third-party conformity assessment involving examination of the technical design by a notified body.</w:t>
            </w:r>
          </w:p>
        </w:tc>
      </w:tr>
      <w:tr w:rsidR="00EB47EC" w14:paraId="3DB9EB00"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2D2CF06" w14:textId="77777777" w:rsidR="00EB47EC" w:rsidRDefault="00000000">
            <w:r>
              <w:rPr>
                <w:rFonts w:ascii="Arial" w:eastAsia="Arial" w:hAnsi="Arial" w:cs="Arial"/>
                <w:b/>
                <w:bCs/>
                <w:color w:val="1A1A1A"/>
                <w:sz w:val="18"/>
                <w:szCs w:val="18"/>
              </w:rPr>
              <w:t>Module H</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C5CC336" w14:textId="77777777" w:rsidR="00EB47EC" w:rsidRDefault="00000000">
            <w:r>
              <w:rPr>
                <w:rFonts w:ascii="Arial" w:eastAsia="Arial" w:hAnsi="Arial" w:cs="Arial"/>
                <w:color w:val="1A1A1A"/>
                <w:sz w:val="16"/>
                <w:szCs w:val="16"/>
              </w:rPr>
              <w:t>Full quality assurance. A conformity assessment based on a comprehensive quality management system covering design, production and testing.</w:t>
            </w:r>
          </w:p>
        </w:tc>
      </w:tr>
      <w:tr w:rsidR="00EB47EC" w14:paraId="246F8DE8"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0793D7D" w14:textId="77777777" w:rsidR="00EB47EC" w:rsidRDefault="00000000">
            <w:r>
              <w:rPr>
                <w:rFonts w:ascii="Arial" w:eastAsia="Arial" w:hAnsi="Arial" w:cs="Arial"/>
                <w:b/>
                <w:bCs/>
                <w:color w:val="1A1A1A"/>
                <w:sz w:val="18"/>
                <w:szCs w:val="18"/>
              </w:rPr>
              <w:t>Open-Source Software</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63899C2" w14:textId="77777777" w:rsidR="00EB47EC" w:rsidRDefault="00000000">
            <w:r>
              <w:rPr>
                <w:rFonts w:ascii="Arial" w:eastAsia="Arial" w:hAnsi="Arial" w:cs="Arial"/>
                <w:color w:val="1A1A1A"/>
                <w:sz w:val="16"/>
                <w:szCs w:val="16"/>
              </w:rPr>
              <w:t>Software with source code that is publicly available. The CRA applies to commercial entities that integrate open-source components into products placed on the EU market.</w:t>
            </w:r>
          </w:p>
        </w:tc>
      </w:tr>
      <w:tr w:rsidR="00EB47EC" w14:paraId="3539AC3F"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6A3BC5E" w14:textId="77777777" w:rsidR="00EB47EC" w:rsidRDefault="00000000">
            <w:r>
              <w:rPr>
                <w:rFonts w:ascii="Arial" w:eastAsia="Arial" w:hAnsi="Arial" w:cs="Arial"/>
                <w:b/>
                <w:bCs/>
                <w:color w:val="1A1A1A"/>
                <w:sz w:val="18"/>
                <w:szCs w:val="18"/>
              </w:rPr>
              <w:t>PDE</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27E601B" w14:textId="77777777" w:rsidR="00EB47EC" w:rsidRDefault="00000000">
            <w:r>
              <w:rPr>
                <w:rFonts w:ascii="Arial" w:eastAsia="Arial" w:hAnsi="Arial" w:cs="Arial"/>
                <w:color w:val="1A1A1A"/>
                <w:sz w:val="16"/>
                <w:szCs w:val="16"/>
              </w:rPr>
              <w:t>Product with Digital Elements. Any software or hardware product with a direct or indirect data connection to a device or network. The core scope of the CRA.</w:t>
            </w:r>
          </w:p>
        </w:tc>
      </w:tr>
      <w:tr w:rsidR="00EB47EC" w14:paraId="547B931B"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091CED2" w14:textId="77777777" w:rsidR="00EB47EC" w:rsidRDefault="00000000">
            <w:r>
              <w:rPr>
                <w:rFonts w:ascii="Arial" w:eastAsia="Arial" w:hAnsi="Arial" w:cs="Arial"/>
                <w:b/>
                <w:bCs/>
                <w:color w:val="1A1A1A"/>
                <w:sz w:val="18"/>
                <w:szCs w:val="18"/>
              </w:rPr>
              <w:t>SBOM</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74B81146" w14:textId="77777777" w:rsidR="00EB47EC" w:rsidRDefault="00000000">
            <w:r>
              <w:rPr>
                <w:rFonts w:ascii="Arial" w:eastAsia="Arial" w:hAnsi="Arial" w:cs="Arial"/>
                <w:color w:val="1A1A1A"/>
                <w:sz w:val="16"/>
                <w:szCs w:val="16"/>
              </w:rPr>
              <w:t>Software Bill of Materials. A structured list of all components, libraries and dependencies in a software product. Required to be available upon request under the CRA.</w:t>
            </w:r>
          </w:p>
        </w:tc>
      </w:tr>
      <w:tr w:rsidR="00EB47EC" w14:paraId="31E70A5E"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3C74E99" w14:textId="77777777" w:rsidR="00EB47EC" w:rsidRDefault="00000000">
            <w:r>
              <w:rPr>
                <w:rFonts w:ascii="Arial" w:eastAsia="Arial" w:hAnsi="Arial" w:cs="Arial"/>
                <w:b/>
                <w:bCs/>
                <w:color w:val="1A1A1A"/>
                <w:sz w:val="18"/>
                <w:szCs w:val="18"/>
              </w:rPr>
              <w:t>Secure by Default</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01F0A9E" w14:textId="77777777" w:rsidR="00EB47EC" w:rsidRDefault="00000000">
            <w:r>
              <w:rPr>
                <w:rFonts w:ascii="Arial" w:eastAsia="Arial" w:hAnsi="Arial" w:cs="Arial"/>
                <w:color w:val="1A1A1A"/>
                <w:sz w:val="16"/>
                <w:szCs w:val="16"/>
              </w:rPr>
              <w:t>The principle that products should be configured with the most secure settings out of the box, without requiring users to enable security features.</w:t>
            </w:r>
          </w:p>
        </w:tc>
      </w:tr>
      <w:tr w:rsidR="00EB47EC" w14:paraId="725E9E40"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785901E" w14:textId="77777777" w:rsidR="00EB47EC" w:rsidRDefault="00000000">
            <w:r>
              <w:rPr>
                <w:rFonts w:ascii="Arial" w:eastAsia="Arial" w:hAnsi="Arial" w:cs="Arial"/>
                <w:b/>
                <w:bCs/>
                <w:color w:val="1A1A1A"/>
                <w:sz w:val="18"/>
                <w:szCs w:val="18"/>
              </w:rPr>
              <w:t>Security Update</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29F68BD1" w14:textId="77777777" w:rsidR="00EB47EC" w:rsidRDefault="00000000">
            <w:r>
              <w:rPr>
                <w:rFonts w:ascii="Arial" w:eastAsia="Arial" w:hAnsi="Arial" w:cs="Arial"/>
                <w:color w:val="1A1A1A"/>
                <w:sz w:val="16"/>
                <w:szCs w:val="16"/>
              </w:rPr>
              <w:t>A software update that addresses one or more security vulnerabilities or improves the security of a product. Must be provided free of charge under the CRA.</w:t>
            </w:r>
          </w:p>
        </w:tc>
      </w:tr>
      <w:tr w:rsidR="00EB47EC" w14:paraId="50363F70"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32E9E879" w14:textId="77777777" w:rsidR="00EB47EC" w:rsidRDefault="00000000">
            <w:r>
              <w:rPr>
                <w:rFonts w:ascii="Arial" w:eastAsia="Arial" w:hAnsi="Arial" w:cs="Arial"/>
                <w:b/>
                <w:bCs/>
                <w:color w:val="1A1A1A"/>
                <w:sz w:val="18"/>
                <w:szCs w:val="18"/>
              </w:rPr>
              <w:t>Support Period</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52884119" w14:textId="77777777" w:rsidR="00EB47EC" w:rsidRDefault="00000000">
            <w:r>
              <w:rPr>
                <w:rFonts w:ascii="Arial" w:eastAsia="Arial" w:hAnsi="Arial" w:cs="Arial"/>
                <w:color w:val="1A1A1A"/>
                <w:sz w:val="16"/>
                <w:szCs w:val="16"/>
              </w:rPr>
              <w:t>The timeframe during which a manufacturer must handle vulnerabilities and provide security updates. Minimum 5 years under the CRA (or expected product lifetime if shorter).</w:t>
            </w:r>
          </w:p>
        </w:tc>
      </w:tr>
      <w:tr w:rsidR="00EB47EC" w14:paraId="65BC72F5"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4C2C7FFB" w14:textId="77777777" w:rsidR="00EB47EC" w:rsidRDefault="00000000">
            <w:r>
              <w:rPr>
                <w:rFonts w:ascii="Arial" w:eastAsia="Arial" w:hAnsi="Arial" w:cs="Arial"/>
                <w:b/>
                <w:bCs/>
                <w:color w:val="1A1A1A"/>
                <w:sz w:val="18"/>
                <w:szCs w:val="18"/>
              </w:rPr>
              <w:t>Technical Documentation</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236A748" w14:textId="77777777" w:rsidR="00EB47EC" w:rsidRDefault="00000000">
            <w:r>
              <w:rPr>
                <w:rFonts w:ascii="Arial" w:eastAsia="Arial" w:hAnsi="Arial" w:cs="Arial"/>
                <w:color w:val="1A1A1A"/>
                <w:sz w:val="16"/>
                <w:szCs w:val="16"/>
              </w:rPr>
              <w:t>Documentation per Annex VII demonstrating how a product meets CRA requirements, including product description, design information, risk assessment, and applied standards.</w:t>
            </w:r>
          </w:p>
        </w:tc>
      </w:tr>
      <w:tr w:rsidR="00EB47EC" w14:paraId="2FD55FE9" w14:textId="77777777">
        <w:trPr>
          <w:cantSplit/>
        </w:trPr>
        <w:tc>
          <w:tcPr>
            <w:tcW w:w="25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0993203C" w14:textId="77777777" w:rsidR="00EB47EC" w:rsidRDefault="00000000">
            <w:r>
              <w:rPr>
                <w:rFonts w:ascii="Arial" w:eastAsia="Arial" w:hAnsi="Arial" w:cs="Arial"/>
                <w:b/>
                <w:bCs/>
                <w:color w:val="1A1A1A"/>
                <w:sz w:val="18"/>
                <w:szCs w:val="18"/>
              </w:rPr>
              <w:t>Vulnerability</w:t>
            </w:r>
          </w:p>
        </w:tc>
        <w:tc>
          <w:tcPr>
            <w:tcW w:w="8000" w:type="dxa"/>
            <w:tcBorders>
              <w:top w:val="single" w:sz="4" w:space="0" w:color="D1D1D1"/>
              <w:left w:val="none" w:sz="0" w:space="0" w:color="FFFFFF"/>
              <w:bottom w:val="single" w:sz="4" w:space="0" w:color="D1D1D1"/>
              <w:right w:val="none" w:sz="0" w:space="0" w:color="FFFFFF"/>
            </w:tcBorders>
            <w:tcMar>
              <w:top w:w="80" w:type="dxa"/>
              <w:left w:w="100" w:type="dxa"/>
              <w:bottom w:w="80" w:type="dxa"/>
              <w:right w:w="100" w:type="dxa"/>
            </w:tcMar>
          </w:tcPr>
          <w:p w14:paraId="6C48619B" w14:textId="77777777" w:rsidR="00EB47EC" w:rsidRDefault="00000000">
            <w:r>
              <w:rPr>
                <w:rFonts w:ascii="Arial" w:eastAsia="Arial" w:hAnsi="Arial" w:cs="Arial"/>
                <w:color w:val="1A1A1A"/>
                <w:sz w:val="16"/>
                <w:szCs w:val="16"/>
              </w:rPr>
              <w:t>A weakness in a product with digital elements that could be exploited to compromise its security properties.</w:t>
            </w:r>
          </w:p>
        </w:tc>
      </w:tr>
    </w:tbl>
    <w:p w14:paraId="27CD3700" w14:textId="77777777" w:rsidR="00EB47EC" w:rsidRDefault="00000000">
      <w:r>
        <w:br w:type="page"/>
      </w:r>
    </w:p>
    <w:p w14:paraId="06C3CE2D" w14:textId="77777777" w:rsidR="00EB47EC" w:rsidRDefault="00000000">
      <w:pPr>
        <w:spacing w:after="200"/>
      </w:pPr>
      <w:r>
        <w:rPr>
          <w:rFonts w:ascii="Arial" w:eastAsia="Arial" w:hAnsi="Arial" w:cs="Arial"/>
          <w:b/>
          <w:bCs/>
          <w:color w:val="1A1A1A"/>
          <w:sz w:val="28"/>
          <w:szCs w:val="28"/>
        </w:rPr>
        <w:lastRenderedPageBreak/>
        <w:t>Important Disclaimer</w:t>
      </w:r>
    </w:p>
    <w:p w14:paraId="20C9394A" w14:textId="77777777" w:rsidR="00EB47EC" w:rsidRDefault="00000000">
      <w:pPr>
        <w:spacing w:before="200"/>
      </w:pPr>
      <w:r>
        <w:rPr>
          <w:rFonts w:ascii="Arial" w:eastAsia="Arial" w:hAnsi="Arial" w:cs="Arial"/>
          <w:b/>
          <w:bCs/>
        </w:rPr>
        <w:t>Self-Assessment Tool Only</w:t>
      </w:r>
    </w:p>
    <w:p w14:paraId="62A79469" w14:textId="77777777" w:rsidR="00EB47EC" w:rsidRDefault="00000000">
      <w:pPr>
        <w:spacing w:before="100"/>
      </w:pPr>
      <w:r>
        <w:rPr>
          <w:rFonts w:ascii="Arial" w:eastAsia="Arial" w:hAnsi="Arial" w:cs="Arial"/>
          <w:sz w:val="18"/>
          <w:szCs w:val="18"/>
        </w:rPr>
        <w:t>This report is generated by a self-assessment tool designed to help organisations understand their readiness for compliance with the EU Cyber Resilience Act (Regulation 2024/2847). It is not a formal conformity assessment, audit, certification, or legal opinion.</w:t>
      </w:r>
    </w:p>
    <w:p w14:paraId="51F579C1" w14:textId="77777777" w:rsidR="00EB47EC" w:rsidRDefault="00000000">
      <w:pPr>
        <w:spacing w:before="200"/>
      </w:pPr>
      <w:r>
        <w:rPr>
          <w:rFonts w:ascii="Arial" w:eastAsia="Arial" w:hAnsi="Arial" w:cs="Arial"/>
          <w:b/>
          <w:bCs/>
        </w:rPr>
        <w:t>No Guarantee of Compliance</w:t>
      </w:r>
    </w:p>
    <w:p w14:paraId="514CB362" w14:textId="77777777" w:rsidR="00EB47EC" w:rsidRDefault="00000000">
      <w:pPr>
        <w:spacing w:before="100"/>
      </w:pPr>
      <w:r>
        <w:rPr>
          <w:rFonts w:ascii="Arial" w:eastAsia="Arial" w:hAnsi="Arial" w:cs="Arial"/>
          <w:sz w:val="18"/>
          <w:szCs w:val="18"/>
        </w:rPr>
        <w:t>Achieving a high score in this assessment does not guarantee compliance with the CRA or any other EU regulation. This organisational readiness assessment does not replace product-level conformity assessment procedures required under the CRA (Modules A, B+C, or H as applicable). Individual products must still undergo their own conformity assessment before being placed on the EU market.</w:t>
      </w:r>
    </w:p>
    <w:p w14:paraId="068AA161" w14:textId="77777777" w:rsidR="00EB47EC" w:rsidRDefault="00000000">
      <w:pPr>
        <w:spacing w:before="200"/>
      </w:pPr>
      <w:r>
        <w:rPr>
          <w:rFonts w:ascii="Arial" w:eastAsia="Arial" w:hAnsi="Arial" w:cs="Arial"/>
          <w:b/>
          <w:bCs/>
        </w:rPr>
        <w:t>Accuracy and Completeness</w:t>
      </w:r>
    </w:p>
    <w:p w14:paraId="0F5DB380" w14:textId="77777777" w:rsidR="00EB47EC" w:rsidRDefault="00000000">
      <w:pPr>
        <w:spacing w:before="100"/>
      </w:pPr>
      <w:r>
        <w:rPr>
          <w:rFonts w:ascii="Arial" w:eastAsia="Arial" w:hAnsi="Arial" w:cs="Arial"/>
          <w:sz w:val="18"/>
          <w:szCs w:val="18"/>
        </w:rPr>
        <w:t>The accuracy and reliability of this report depends entirely on the accuracy and completeness of your responses. You are solely responsible for ensuring that your answers truthfully reflect your organisation's current processes, capabilities, and governance. Inaccurate or incomplete responses will result in misleading findings and recommendations.</w:t>
      </w:r>
    </w:p>
    <w:p w14:paraId="18BBDDE4" w14:textId="77777777" w:rsidR="00EB47EC" w:rsidRDefault="00000000">
      <w:pPr>
        <w:spacing w:before="200"/>
      </w:pPr>
      <w:r>
        <w:rPr>
          <w:rFonts w:ascii="Arial" w:eastAsia="Arial" w:hAnsi="Arial" w:cs="Arial"/>
          <w:b/>
          <w:bCs/>
        </w:rPr>
        <w:t>Evidence Retention</w:t>
      </w:r>
    </w:p>
    <w:p w14:paraId="7A3C23A1" w14:textId="77777777" w:rsidR="00EB47EC" w:rsidRDefault="00000000">
      <w:pPr>
        <w:spacing w:before="100"/>
      </w:pPr>
      <w:r>
        <w:rPr>
          <w:rFonts w:ascii="Arial" w:eastAsia="Arial" w:hAnsi="Arial" w:cs="Arial"/>
          <w:sz w:val="18"/>
          <w:szCs w:val="18"/>
        </w:rPr>
        <w:t>You should retain documented evidence supporting your responses for conformity assessment, audit and market surveillance purposes. This tool does not validate or verify the existence of controls — it relies solely on self-reported information.</w:t>
      </w:r>
    </w:p>
    <w:p w14:paraId="702FD358" w14:textId="77777777" w:rsidR="00EB47EC" w:rsidRDefault="00000000">
      <w:pPr>
        <w:spacing w:before="200"/>
      </w:pPr>
      <w:r>
        <w:rPr>
          <w:rFonts w:ascii="Arial" w:eastAsia="Arial" w:hAnsi="Arial" w:cs="Arial"/>
          <w:b/>
          <w:bCs/>
        </w:rPr>
        <w:t>Professional Advice</w:t>
      </w:r>
    </w:p>
    <w:p w14:paraId="75CBBA8C" w14:textId="77777777" w:rsidR="00EB47EC" w:rsidRDefault="00000000">
      <w:pPr>
        <w:spacing w:before="100"/>
      </w:pPr>
      <w:r>
        <w:rPr>
          <w:rFonts w:ascii="Arial" w:eastAsia="Arial" w:hAnsi="Arial" w:cs="Arial"/>
          <w:sz w:val="18"/>
          <w:szCs w:val="18"/>
        </w:rPr>
        <w:t>This tool is provided for guidance purposes only. For formal compliance decisions, conformity assessment procedures, or regulatory submissions, you should engage qualified cybersecurity professionals, legal advisors, notified bodies, or accredited assessors as appropriate.</w:t>
      </w:r>
    </w:p>
    <w:p w14:paraId="23C07623" w14:textId="77777777" w:rsidR="00EB47EC" w:rsidRDefault="00000000">
      <w:pPr>
        <w:spacing w:before="200"/>
      </w:pPr>
      <w:r>
        <w:rPr>
          <w:rFonts w:ascii="Arial" w:eastAsia="Arial" w:hAnsi="Arial" w:cs="Arial"/>
          <w:b/>
          <w:bCs/>
        </w:rPr>
        <w:t>Limitation of Liability</w:t>
      </w:r>
    </w:p>
    <w:p w14:paraId="2980D822" w14:textId="77777777" w:rsidR="00EB47EC" w:rsidRDefault="00000000">
      <w:pPr>
        <w:spacing w:before="100"/>
      </w:pPr>
      <w:r>
        <w:rPr>
          <w:rFonts w:ascii="Arial" w:eastAsia="Arial" w:hAnsi="Arial" w:cs="Arial"/>
          <w:sz w:val="18"/>
          <w:szCs w:val="18"/>
        </w:rPr>
        <w:t>CyberAssure Pty Ltd accepts no liability for any decisions made, actions taken, or outcomes arising from the use of this assessment tool or its generated reports. Use of this tool is entirely at your own risk.</w:t>
      </w:r>
    </w:p>
    <w:p w14:paraId="4EF06BC3" w14:textId="77777777" w:rsidR="00EB47EC" w:rsidRDefault="00000000">
      <w:pPr>
        <w:spacing w:before="400"/>
      </w:pPr>
      <w:r>
        <w:rPr>
          <w:rFonts w:ascii="Arial" w:eastAsia="Arial" w:hAnsi="Arial" w:cs="Arial"/>
          <w:color w:val="86868B"/>
          <w:sz w:val="16"/>
          <w:szCs w:val="16"/>
        </w:rPr>
        <w:t>© CyberAssure Pty Ltd. All rights reserved.</w:t>
      </w:r>
    </w:p>
    <w:p w14:paraId="786308C1" w14:textId="77777777" w:rsidR="00EB47EC" w:rsidRDefault="00000000">
      <w:pPr>
        <w:spacing w:before="600" w:after="200"/>
        <w:jc w:val="center"/>
      </w:pPr>
      <w:r>
        <w:rPr>
          <w:noProof/>
        </w:rPr>
        <w:drawing>
          <wp:inline distT="0" distB="0" distL="0" distR="0" wp14:anchorId="4B7B2AD1" wp14:editId="4F266273">
            <wp:extent cx="200025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00250" cy="561975"/>
                    </a:xfrm>
                    <a:prstGeom prst="rect">
                      <a:avLst/>
                    </a:prstGeom>
                  </pic:spPr>
                </pic:pic>
              </a:graphicData>
            </a:graphic>
          </wp:inline>
        </w:drawing>
      </w:r>
    </w:p>
    <w:p w14:paraId="0A53CA0E" w14:textId="77777777" w:rsidR="00EB47EC" w:rsidRDefault="00000000">
      <w:pPr>
        <w:jc w:val="center"/>
      </w:pPr>
      <w:r>
        <w:rPr>
          <w:rFonts w:ascii="Arial" w:eastAsia="Arial" w:hAnsi="Arial" w:cs="Arial"/>
          <w:color w:val="003399"/>
        </w:rPr>
        <w:t>www.cyberassure.com.au</w:t>
      </w:r>
    </w:p>
    <w:sectPr w:rsidR="00EB47EC">
      <w:headerReference w:type="default" r:id="rId8"/>
      <w:headerReference w:type="first" r:id="rId9"/>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1ABE" w14:textId="77777777" w:rsidR="00FA2AB0" w:rsidRDefault="00FA2AB0">
      <w:r>
        <w:separator/>
      </w:r>
    </w:p>
  </w:endnote>
  <w:endnote w:type="continuationSeparator" w:id="0">
    <w:p w14:paraId="45B607D3" w14:textId="77777777" w:rsidR="00FA2AB0" w:rsidRDefault="00FA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09C3" w14:textId="77777777" w:rsidR="00FA2AB0" w:rsidRDefault="00FA2AB0">
      <w:r>
        <w:separator/>
      </w:r>
    </w:p>
  </w:footnote>
  <w:footnote w:type="continuationSeparator" w:id="0">
    <w:p w14:paraId="00BB301C" w14:textId="77777777" w:rsidR="00FA2AB0" w:rsidRDefault="00FA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DC4C" w14:textId="77777777" w:rsidR="00EB47EC" w:rsidRDefault="00000000">
    <w:pPr>
      <w:spacing w:after="60"/>
      <w:jc w:val="right"/>
    </w:pPr>
    <w:r>
      <w:rPr>
        <w:noProof/>
      </w:rPr>
      <w:drawing>
        <wp:inline distT="0" distB="0" distL="0" distR="0" wp14:anchorId="1106BC45" wp14:editId="4A716A79">
          <wp:extent cx="952500" cy="266700"/>
          <wp:effectExtent l="0" t="0" r="0" b="0"/>
          <wp:docPr id="401542409" name="Picture 40154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266700"/>
                  </a:xfrm>
                  <a:prstGeom prst="rect">
                    <a:avLst/>
                  </a:prstGeom>
                </pic:spPr>
              </pic:pic>
            </a:graphicData>
          </a:graphic>
        </wp:inline>
      </w:drawing>
    </w:r>
  </w:p>
  <w:p w14:paraId="06E945C6" w14:textId="77777777" w:rsidR="00EB47EC" w:rsidRDefault="00000000">
    <w:pPr>
      <w:jc w:val="right"/>
    </w:pPr>
    <w:r>
      <w:rPr>
        <w:rFonts w:ascii="Arial" w:eastAsia="Arial" w:hAnsi="Arial" w:cs="Arial"/>
        <w:color w:val="666666"/>
        <w:sz w:val="16"/>
        <w:szCs w:val="16"/>
      </w:rPr>
      <w:t>CRA Readiness Assessment</w:t>
    </w:r>
    <w:r>
      <w:rPr>
        <w:rFonts w:ascii="Arial" w:eastAsia="Arial" w:hAnsi="Arial" w:cs="Arial"/>
        <w:color w:val="D1D1D1"/>
        <w:sz w:val="16"/>
        <w:szCs w:val="16"/>
      </w:rPr>
      <w:t xml:space="preserve">  |  </w:t>
    </w:r>
    <w:r>
      <w:rPr>
        <w:rFonts w:ascii="Arial" w:eastAsia="Arial" w:hAnsi="Arial" w:cs="Arial"/>
        <w:color w:val="666666"/>
        <w:sz w:val="16"/>
        <w:szCs w:val="16"/>
      </w:rPr>
      <w:t>Acme Manufacturing</w:t>
    </w:r>
    <w:r>
      <w:rPr>
        <w:rFonts w:ascii="Arial" w:eastAsia="Arial" w:hAnsi="Arial" w:cs="Arial"/>
        <w:color w:val="D1D1D1"/>
        <w:sz w:val="16"/>
        <w:szCs w:val="16"/>
      </w:rPr>
      <w:t xml:space="preserve">  |  </w:t>
    </w:r>
    <w:r>
      <w:rPr>
        <w:rFonts w:ascii="Arial" w:eastAsia="Arial" w:hAnsi="Arial" w:cs="Arial"/>
        <w:color w:val="666666"/>
        <w:sz w:val="16"/>
        <w:szCs w:val="16"/>
      </w:rPr>
      <w:t>27 February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39B5" w14:textId="77777777" w:rsidR="006003CC"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A0831"/>
    <w:multiLevelType w:val="hybridMultilevel"/>
    <w:tmpl w:val="DC36A84C"/>
    <w:lvl w:ilvl="0" w:tplc="1A1CE714">
      <w:start w:val="1"/>
      <w:numFmt w:val="bullet"/>
      <w:lvlText w:val="●"/>
      <w:lvlJc w:val="left"/>
      <w:pPr>
        <w:ind w:left="720" w:hanging="360"/>
      </w:pPr>
    </w:lvl>
    <w:lvl w:ilvl="1" w:tplc="9446D570">
      <w:start w:val="1"/>
      <w:numFmt w:val="bullet"/>
      <w:lvlText w:val="○"/>
      <w:lvlJc w:val="left"/>
      <w:pPr>
        <w:ind w:left="1440" w:hanging="360"/>
      </w:pPr>
    </w:lvl>
    <w:lvl w:ilvl="2" w:tplc="A39C3724">
      <w:start w:val="1"/>
      <w:numFmt w:val="bullet"/>
      <w:lvlText w:val="■"/>
      <w:lvlJc w:val="left"/>
      <w:pPr>
        <w:ind w:left="2160" w:hanging="360"/>
      </w:pPr>
    </w:lvl>
    <w:lvl w:ilvl="3" w:tplc="A9860A38">
      <w:start w:val="1"/>
      <w:numFmt w:val="bullet"/>
      <w:lvlText w:val="●"/>
      <w:lvlJc w:val="left"/>
      <w:pPr>
        <w:ind w:left="2880" w:hanging="360"/>
      </w:pPr>
    </w:lvl>
    <w:lvl w:ilvl="4" w:tplc="471C59B8">
      <w:start w:val="1"/>
      <w:numFmt w:val="bullet"/>
      <w:lvlText w:val="○"/>
      <w:lvlJc w:val="left"/>
      <w:pPr>
        <w:ind w:left="3600" w:hanging="360"/>
      </w:pPr>
    </w:lvl>
    <w:lvl w:ilvl="5" w:tplc="4EFEE062">
      <w:start w:val="1"/>
      <w:numFmt w:val="bullet"/>
      <w:lvlText w:val="■"/>
      <w:lvlJc w:val="left"/>
      <w:pPr>
        <w:ind w:left="4320" w:hanging="360"/>
      </w:pPr>
    </w:lvl>
    <w:lvl w:ilvl="6" w:tplc="8B76B104">
      <w:start w:val="1"/>
      <w:numFmt w:val="bullet"/>
      <w:lvlText w:val="●"/>
      <w:lvlJc w:val="left"/>
      <w:pPr>
        <w:ind w:left="5040" w:hanging="360"/>
      </w:pPr>
    </w:lvl>
    <w:lvl w:ilvl="7" w:tplc="5D2E2856">
      <w:start w:val="1"/>
      <w:numFmt w:val="bullet"/>
      <w:lvlText w:val="●"/>
      <w:lvlJc w:val="left"/>
      <w:pPr>
        <w:ind w:left="5760" w:hanging="360"/>
      </w:pPr>
    </w:lvl>
    <w:lvl w:ilvl="8" w:tplc="DBE0E3B8">
      <w:start w:val="1"/>
      <w:numFmt w:val="bullet"/>
      <w:lvlText w:val="●"/>
      <w:lvlJc w:val="left"/>
      <w:pPr>
        <w:ind w:left="6480" w:hanging="360"/>
      </w:pPr>
    </w:lvl>
  </w:abstractNum>
  <w:num w:numId="1" w16cid:durableId="11092730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EC"/>
    <w:rsid w:val="00112B0E"/>
    <w:rsid w:val="002D6F28"/>
    <w:rsid w:val="006003CC"/>
    <w:rsid w:val="00B85932"/>
    <w:rsid w:val="00EB47EC"/>
    <w:rsid w:val="00F1152A"/>
    <w:rsid w:val="00FA2A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39525ED"/>
  <w15:docId w15:val="{E430B238-2EA9-B446-8267-3FE997D1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
    <w:next w:val="a"/>
    <w:uiPriority w:val="9"/>
    <w:qFormat/>
    <w:pPr>
      <w:outlineLvl w:val="0"/>
    </w:pPr>
    <w:rPr>
      <w:color w:val="2E74B5"/>
      <w:sz w:val="32"/>
      <w:szCs w:val="32"/>
    </w:rPr>
  </w:style>
  <w:style w:type="paragraph" w:styleId="Heading2">
    <w:name w:val="heading 2"/>
    <w:basedOn w:val="a"/>
    <w:next w:val="a"/>
    <w:uiPriority w:val="9"/>
    <w:semiHidden/>
    <w:unhideWhenUsed/>
    <w:qFormat/>
    <w:pPr>
      <w:outlineLvl w:val="1"/>
    </w:pPr>
    <w:rPr>
      <w:color w:val="2E74B5"/>
      <w:sz w:val="26"/>
      <w:szCs w:val="26"/>
    </w:rPr>
  </w:style>
  <w:style w:type="paragraph" w:styleId="Heading3">
    <w:name w:val="heading 3"/>
    <w:basedOn w:val="a"/>
    <w:next w:val="a"/>
    <w:uiPriority w:val="9"/>
    <w:semiHidden/>
    <w:unhideWhenUsed/>
    <w:qFormat/>
    <w:pPr>
      <w:outlineLvl w:val="2"/>
    </w:pPr>
    <w:rPr>
      <w:color w:val="1F4D78"/>
      <w:sz w:val="24"/>
      <w:szCs w:val="24"/>
    </w:rPr>
  </w:style>
  <w:style w:type="paragraph" w:styleId="Heading4">
    <w:name w:val="heading 4"/>
    <w:basedOn w:val="a"/>
    <w:next w:val="a"/>
    <w:uiPriority w:val="9"/>
    <w:semiHidden/>
    <w:unhideWhenUsed/>
    <w:qFormat/>
    <w:pPr>
      <w:outlineLvl w:val="3"/>
    </w:pPr>
    <w:rPr>
      <w:i/>
      <w:iCs/>
      <w:color w:val="2E74B5"/>
    </w:rPr>
  </w:style>
  <w:style w:type="paragraph" w:styleId="Heading5">
    <w:name w:val="heading 5"/>
    <w:basedOn w:val="a"/>
    <w:next w:val="a"/>
    <w:uiPriority w:val="9"/>
    <w:semiHidden/>
    <w:unhideWhenUsed/>
    <w:qFormat/>
    <w:pPr>
      <w:outlineLvl w:val="4"/>
    </w:pPr>
    <w:rPr>
      <w:color w:val="2E74B5"/>
    </w:rPr>
  </w:style>
  <w:style w:type="paragraph" w:styleId="Heading6">
    <w:name w:val="heading 6"/>
    <w:basedOn w:val="a"/>
    <w:next w:val="a"/>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a"/>
    <w:next w:val="a"/>
    <w:uiPriority w:val="10"/>
    <w:qFormat/>
    <w:rPr>
      <w:sz w:val="56"/>
      <w:szCs w:val="56"/>
    </w:rPr>
  </w:style>
  <w:style w:type="paragraph" w:customStyle="1" w:styleId="Strong1">
    <w:name w:val="Strong1"/>
    <w:basedOn w:val="a"/>
    <w:next w:val="a"/>
    <w:qFormat/>
    <w:rPr>
      <w:b/>
      <w:bCs/>
    </w:rPr>
  </w:style>
  <w:style w:type="paragraph" w:styleId="ListParagraph">
    <w:name w:val="List Paragraph"/>
    <w:basedOn w:val="a"/>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a"/>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5129</Words>
  <Characters>34270</Characters>
  <Application>Microsoft Office Word</Application>
  <DocSecurity>0</DocSecurity>
  <Lines>1639</Lines>
  <Paragraphs>720</Paragraphs>
  <ScaleCrop>false</ScaleCrop>
  <Company/>
  <LinksUpToDate>false</LinksUpToDate>
  <CharactersWithSpaces>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Steven Close</cp:lastModifiedBy>
  <cp:revision>3</cp:revision>
  <dcterms:created xsi:type="dcterms:W3CDTF">2026-02-26T22:14:00Z</dcterms:created>
  <dcterms:modified xsi:type="dcterms:W3CDTF">2026-02-26T23:34:00Z</dcterms:modified>
</cp:coreProperties>
</file>